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8E" w:rsidRPr="00050E8E" w:rsidRDefault="00050E8E" w:rsidP="00050E8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50E8E">
        <w:rPr>
          <w:rFonts w:ascii="Times New Roman" w:eastAsia="Times New Roman" w:hAnsi="Times New Roman"/>
          <w:sz w:val="28"/>
        </w:rPr>
        <w:t>ПОСТАНОВЛЕНИЕ</w:t>
      </w:r>
    </w:p>
    <w:p w:rsidR="00050E8E" w:rsidRPr="00050E8E" w:rsidRDefault="00050E8E" w:rsidP="00050E8E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050E8E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050E8E" w:rsidRPr="00050E8E" w:rsidRDefault="00050E8E" w:rsidP="00050E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8E" w:rsidRPr="00050E8E" w:rsidRDefault="00050E8E" w:rsidP="00050E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8E" w:rsidRPr="00050E8E" w:rsidRDefault="00050E8E" w:rsidP="00050E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8E" w:rsidRPr="00050E8E" w:rsidRDefault="00050E8E" w:rsidP="00050E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21" w:rsidRDefault="00050E8E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0E8E">
        <w:rPr>
          <w:rFonts w:ascii="Times New Roman" w:eastAsia="Times New Roman" w:hAnsi="Times New Roman"/>
          <w:bCs/>
          <w:sz w:val="28"/>
          <w:szCs w:val="28"/>
          <w:lang w:eastAsia="ru-RU"/>
        </w:rPr>
        <w:t>30.06.2017 года № 511</w:t>
      </w:r>
    </w:p>
    <w:p w:rsidR="00050E8E" w:rsidRDefault="00050E8E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0E8E" w:rsidRDefault="00050E8E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50E8E" w:rsidRDefault="00050E8E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826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</w:p>
    <w:p w:rsidR="00837826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 </w:t>
      </w:r>
    </w:p>
    <w:p w:rsidR="00837826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«Внесение в государственный </w:t>
      </w:r>
    </w:p>
    <w:p w:rsidR="00837826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 недвижимости сведений </w:t>
      </w:r>
    </w:p>
    <w:p w:rsidR="00837826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о границах населенных пунктов </w:t>
      </w:r>
    </w:p>
    <w:p w:rsidR="00837826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837826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Челябинской области </w:t>
      </w:r>
    </w:p>
    <w:p w:rsidR="00520247" w:rsidRP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на 2017-2020 годы»</w:t>
      </w:r>
    </w:p>
    <w:p w:rsidR="00FF6214" w:rsidRDefault="00FF6214" w:rsidP="007E4A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DA0" w:rsidRDefault="00F67DA0" w:rsidP="007E4A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7E4A2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В  соответствии  с  Федеральным законом  от 06.10.2003 года</w:t>
      </w:r>
      <w:r w:rsidR="007E4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законодательством</w:t>
      </w:r>
      <w:r w:rsidR="003E7A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статьи 179 Бюджетного кодекса Российской Федерации</w:t>
      </w:r>
      <w:r w:rsidR="007E4A2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20247" w:rsidRP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520247" w:rsidRPr="00520247" w:rsidRDefault="00520247" w:rsidP="00FF62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прилагаемую муниципальную программу</w:t>
      </w:r>
      <w:r w:rsidR="007E4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«Внесение в государственный  кадастр  недвижимости сведений  о границах населенных пунктов Карталинского муниципального района Челябинской области</w:t>
      </w:r>
      <w:r w:rsidR="003E7A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на 2017-2020 годы».</w:t>
      </w:r>
    </w:p>
    <w:p w:rsidR="00520247" w:rsidRPr="00520247" w:rsidRDefault="00520247" w:rsidP="00FF62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 муниципального района.</w:t>
      </w:r>
    </w:p>
    <w:p w:rsidR="00520247" w:rsidRPr="00520247" w:rsidRDefault="00520247" w:rsidP="00FF62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3. 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:rsidR="00520247" w:rsidRPr="00520247" w:rsidRDefault="00520247" w:rsidP="00FF62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FF6214" w:rsidRDefault="00FF6214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E8E" w:rsidRDefault="00050E8E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214" w:rsidRPr="00520247" w:rsidRDefault="00FF6214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520247" w:rsidRP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621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С.Н. Шулаев</w:t>
      </w:r>
    </w:p>
    <w:p w:rsidR="00520247" w:rsidRPr="00520247" w:rsidRDefault="00520247" w:rsidP="002358D4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УТВЕРЖДЕНА</w:t>
      </w:r>
    </w:p>
    <w:p w:rsidR="00520247" w:rsidRPr="00520247" w:rsidRDefault="00520247" w:rsidP="002358D4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2358D4" w:rsidRDefault="00520247" w:rsidP="002358D4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</w:p>
    <w:p w:rsidR="00520247" w:rsidRPr="00520247" w:rsidRDefault="00520247" w:rsidP="002358D4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2358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777">
        <w:rPr>
          <w:rFonts w:ascii="Times New Roman" w:eastAsia="Times New Roman" w:hAnsi="Times New Roman"/>
          <w:sz w:val="28"/>
          <w:szCs w:val="28"/>
          <w:lang w:eastAsia="ru-RU"/>
        </w:rPr>
        <w:t>30.06.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 w:rsidR="00D96777">
        <w:rPr>
          <w:rFonts w:ascii="Times New Roman" w:eastAsia="Times New Roman" w:hAnsi="Times New Roman"/>
          <w:sz w:val="28"/>
          <w:szCs w:val="28"/>
          <w:lang w:eastAsia="ru-RU"/>
        </w:rPr>
        <w:t>511</w:t>
      </w:r>
    </w:p>
    <w:p w:rsidR="00520247" w:rsidRP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0247" w:rsidRPr="00520247" w:rsidRDefault="00520247" w:rsidP="0023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C50752" w:rsidRDefault="00520247" w:rsidP="0023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«Внесение в государственный кадастр недвижимости </w:t>
      </w:r>
    </w:p>
    <w:p w:rsidR="00C50752" w:rsidRDefault="00520247" w:rsidP="0023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о границах населенных пунктов Карталинского </w:t>
      </w:r>
    </w:p>
    <w:p w:rsidR="00C50752" w:rsidRDefault="00520247" w:rsidP="0023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Челябинской области </w:t>
      </w:r>
    </w:p>
    <w:p w:rsidR="00520247" w:rsidRPr="00520247" w:rsidRDefault="00520247" w:rsidP="0023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на 2017-2020 годы»</w:t>
      </w:r>
    </w:p>
    <w:p w:rsidR="00520247" w:rsidRPr="00520247" w:rsidRDefault="00520247" w:rsidP="0023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23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</w:t>
      </w:r>
    </w:p>
    <w:p w:rsidR="00C50752" w:rsidRDefault="00C50752" w:rsidP="0023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520247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«Внесение в государственный </w:t>
      </w:r>
    </w:p>
    <w:p w:rsidR="00C50752" w:rsidRDefault="00520247" w:rsidP="0023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кадастр недвижимости  сведений о границах населенных пунктов Карталинского муниципального района Челябинской области </w:t>
      </w:r>
    </w:p>
    <w:p w:rsidR="00520247" w:rsidRPr="00520247" w:rsidRDefault="00520247" w:rsidP="002358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2017-2020 годы» </w:t>
      </w:r>
    </w:p>
    <w:p w:rsidR="00520247" w:rsidRP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Ind w:w="108" w:type="dxa"/>
        <w:tblLayout w:type="fixed"/>
        <w:tblLook w:val="04A0"/>
      </w:tblPr>
      <w:tblGrid>
        <w:gridCol w:w="2528"/>
        <w:gridCol w:w="7111"/>
      </w:tblGrid>
      <w:tr w:rsidR="00520247" w:rsidRPr="00520247" w:rsidTr="00A64062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895F0D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247" w:rsidRPr="00520247" w:rsidRDefault="00895F0D" w:rsidP="0089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9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«Внесение в государственный кадастр недвижимости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9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сведений о границах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селенных пунктов Карталинского  </w:t>
            </w:r>
            <w:r w:rsidRPr="0089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 района Челябинской области  </w:t>
            </w:r>
            <w:r w:rsidR="00B35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895F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2017-2020 годы»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именуется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Программа)</w:t>
            </w:r>
          </w:p>
        </w:tc>
      </w:tr>
      <w:tr w:rsidR="002E21AB" w:rsidRPr="00520247" w:rsidTr="00A64062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E21AB" w:rsidRPr="00520247" w:rsidRDefault="002E21AB" w:rsidP="00C5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6440C0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E21AB" w:rsidRPr="00520247" w:rsidRDefault="002E21AB" w:rsidP="00C5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строительства, инфраструктуры и ЖКХ Карталинского муниципального района</w:t>
            </w:r>
            <w:r w:rsidR="004465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именуется – ответственный исполнитель)</w:t>
            </w:r>
          </w:p>
        </w:tc>
      </w:tr>
      <w:tr w:rsidR="00520247" w:rsidRPr="00520247" w:rsidTr="00A64062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Соисполнители </w:t>
            </w:r>
            <w:r w:rsidR="006440C0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D80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  <w:r w:rsidR="00D80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Челябинской области (по согласованию),</w:t>
            </w:r>
            <w:r w:rsidR="00D80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0280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сельских поселений Карталинского муниципального района </w:t>
            </w:r>
          </w:p>
        </w:tc>
      </w:tr>
      <w:tr w:rsidR="00520247" w:rsidRPr="00520247" w:rsidTr="00A64062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Основная цель </w:t>
            </w:r>
            <w:r w:rsidR="006440C0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B35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Внесение сведений обо всех населенных пункт</w:t>
            </w:r>
            <w:r w:rsidR="00B352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ах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Карталинского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Челябинской области в государственный кадастр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</w:t>
            </w:r>
            <w:r w:rsidR="003C3C8B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520247" w:rsidRPr="00520247" w:rsidTr="00A64062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задачи </w:t>
            </w:r>
            <w:r w:rsidR="00A64062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C9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Подготовка землеустроительной документации, содержащей необходимые для внесения в государственный кадастр недвижимости сведений о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местоположении границ населенных пунктов Карталинского муниципального района</w:t>
            </w:r>
          </w:p>
        </w:tc>
      </w:tr>
      <w:tr w:rsidR="00520247" w:rsidRPr="00520247" w:rsidTr="00A64062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индикаторы </w:t>
            </w:r>
            <w:r w:rsidR="00A64062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Их значения по годам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индикаторы </w:t>
            </w:r>
            <w:r w:rsidR="004D283A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разбивкой по годам изложены в </w:t>
            </w:r>
            <w:r w:rsidR="00E3326C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приложении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настоящей </w:t>
            </w:r>
            <w:r w:rsidR="00E3326C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Программе</w:t>
            </w:r>
          </w:p>
        </w:tc>
      </w:tr>
      <w:tr w:rsidR="00520247" w:rsidRPr="00520247" w:rsidTr="00A64062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A64062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реализации мероприятий </w:t>
            </w:r>
            <w:r w:rsidR="00AA4C80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A4C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рограммы </w:t>
            </w:r>
            <w:r w:rsidR="006806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запланирован на 2017-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годы, с разбивкой на четыре этапа: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</w:t>
            </w:r>
            <w:r w:rsidR="00F93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2017 год;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</w:t>
            </w:r>
            <w:r w:rsidR="00F93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 год;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</w:t>
            </w:r>
            <w:r w:rsidR="00F93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год;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этап </w:t>
            </w:r>
            <w:r w:rsidR="00F93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год</w:t>
            </w:r>
          </w:p>
        </w:tc>
      </w:tr>
      <w:tr w:rsidR="00520247" w:rsidRPr="00520247" w:rsidTr="00A64062">
        <w:trPr>
          <w:trHeight w:val="1"/>
          <w:jc w:val="center"/>
        </w:trPr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A64062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Финансирование мероприятий </w:t>
            </w:r>
            <w:r w:rsidR="00F9399D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осуществляется в пределах выделенных бюджетных средств и уточняется, исходя из возможностей бюджета района. Общий объем фин</w:t>
            </w:r>
            <w:r w:rsidR="00ED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ансирования </w:t>
            </w:r>
            <w:r w:rsidR="004813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  <w:r w:rsidR="00ED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2017-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годы из средств областного  и местного бюджетов (в ценах соответствующих лет) составляет 4745,0 тыс. рублей, в том числе: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2017 г</w:t>
            </w:r>
            <w:r w:rsidR="00ED361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 –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945,0 тыс.руб., в том </w:t>
            </w:r>
            <w:r w:rsidR="00ED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 за счет местного бюджета – 45,0 тыс. руб.,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областной бюджет </w:t>
            </w:r>
            <w:r w:rsidR="00ED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900,0 тыс.</w:t>
            </w:r>
            <w:r w:rsidR="00ED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ED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20247" w:rsidRPr="00520247" w:rsidRDefault="00ED361E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2018 год –</w:t>
            </w:r>
            <w:r w:rsidR="00520247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1100,0 тыс.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0247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руб., в том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 за счет местного бюджета </w:t>
            </w:r>
            <w:r w:rsidR="00520247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55,0 тыс. руб., областного бюджета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="00520247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1045,0 тыс.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0247"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20247" w:rsidRPr="00520247" w:rsidRDefault="00520247" w:rsidP="00520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2019 г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–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1300,0 тыс.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руб., в том числе за счет местного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65,0 тыс. руб., областного бюджета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1235,0 тыс.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20247" w:rsidRPr="00520247" w:rsidRDefault="00520247" w:rsidP="00E1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2020 г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 –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1400,0 тыс.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руб., в том числе за счет местного бюджета местного – 70,0 тыс. руб., областного бюджета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1330,0 тыс.</w:t>
            </w:r>
            <w:r w:rsidR="00E161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</w:tr>
    </w:tbl>
    <w:p w:rsidR="00520247" w:rsidRPr="00520247" w:rsidRDefault="00520247" w:rsidP="00B31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AB" w:rsidRDefault="00520247" w:rsidP="00B31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Содержание проблемы и обоснование необходимости </w:t>
      </w:r>
    </w:p>
    <w:p w:rsidR="00520247" w:rsidRPr="00520247" w:rsidRDefault="00520247" w:rsidP="00B31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ее</w:t>
      </w:r>
      <w:r w:rsidR="00B31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программными методами</w:t>
      </w:r>
    </w:p>
    <w:p w:rsidR="004D283A" w:rsidRDefault="004D283A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83A" w:rsidRPr="00520247" w:rsidRDefault="004D283A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1. Государственная политика Челябинской области в сфере земельно-имущественных отношений направлена на рациональное использование земельных ресурсов и объектов недвижимости как важнейших составляющих богатства Челябинской области, обеспечение государственных гарантий прав собственности и иных вещных прав на недвижимое имущество.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Стратегия социально-экономического развития </w:t>
      </w:r>
      <w:r w:rsidR="00E200C2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до 2020 года, утвержденная </w:t>
      </w:r>
      <w:r w:rsidR="004E74D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Собрания депутатов </w:t>
      </w:r>
      <w:r w:rsidR="004E74D8" w:rsidRPr="0052024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="004E74D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25.09.2014 года № 730-Н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определяющая основные приоритеты и направления развития </w:t>
      </w:r>
      <w:r w:rsidR="00747661" w:rsidRPr="00520247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долгосрочную перспективу, невозможна без развития рынков земли и недвижимости.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Постановлением Правительства Российской Федерации от 10.10.2013 </w:t>
      </w:r>
      <w:r w:rsidR="00B335F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№ 903 утверждена федеральная целевая программа «Развитие единой государственной системы регистрации прав и кадастрового учета недвижимости (2014 – 2019 годы)» (далее</w:t>
      </w:r>
      <w:r w:rsidR="00B335F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именуется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– ФЦП), одним из мероприятий которой является проведение землеустроительных работ в отношении границ населенных пунктов, внесение сведений по итогам проведения кадастровых и землеустроительных работ в государственный кадастр недвижимости.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4. В свете проводимой Правительством Российской Федерации реформы государственного кадастрового учета и государственной регистрации прав на недвижимое имущество и сделок с ним особую актуальность приобретает задача внесения сведений в государственный кадастр недвижимости.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0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Распоряжением Правительства Российской Федерации от 30.11.2015 </w:t>
      </w:r>
      <w:r w:rsidR="00CB78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Pr="00520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2444-р утвержден комплексный план мероприятий по внесению в государственный кадастр недвижимости сведений о границах населенных пунктов в виде координатного описания (</w:t>
      </w:r>
      <w:r w:rsidR="00CB7814" w:rsidRPr="00520247">
        <w:rPr>
          <w:rFonts w:ascii="Times New Roman" w:eastAsia="Times New Roman" w:hAnsi="Times New Roman"/>
          <w:sz w:val="28"/>
          <w:szCs w:val="28"/>
          <w:lang w:eastAsia="ru-RU"/>
        </w:rPr>
        <w:t>далее</w:t>
      </w:r>
      <w:r w:rsidR="00CB781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именуется</w:t>
      </w:r>
      <w:r w:rsidR="00CB7814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20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Комплексный план).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6. Одновременно Правительством Российской Федерации рекомендовано органам исполнительной власти субъектов Российской Федерации при формировании проектов бюджетов субъектов Российской Федерации на очередной финансовый год и плановый период предусмотреть финансовое обеспечение расходов на реализацию мероприятий Комплексного плана, а также при принятии </w:t>
      </w:r>
      <w:r w:rsidRPr="00520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региональных программ учитывать положения ФЦП.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статье 9 Федерального закона от 24.07.2014 </w:t>
      </w:r>
      <w:r w:rsidR="00CB781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№ 221-ФЗ «О государственном кадастре недвижимости» (</w:t>
      </w:r>
      <w:r w:rsidR="00CB7814" w:rsidRPr="00520247">
        <w:rPr>
          <w:rFonts w:ascii="Times New Roman" w:eastAsia="Times New Roman" w:hAnsi="Times New Roman"/>
          <w:sz w:val="28"/>
          <w:szCs w:val="28"/>
          <w:lang w:eastAsia="ru-RU"/>
        </w:rPr>
        <w:t>далее</w:t>
      </w:r>
      <w:r w:rsidR="00CB781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именуется</w:t>
      </w:r>
      <w:r w:rsidR="00CB7814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Закон о кадастре) в государственном кадастре недвижимости должны быть внесены сведения о границах населенных пунктов.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84 Земельного кодекса Российской Федерации и статьей 24 Градостроительного кодекса Российской Федерации границы населенных пунктов утверждаются представительным органом местного самоуправления.</w:t>
      </w:r>
    </w:p>
    <w:p w:rsid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Согласно статье 15 Закона о кадастре органы местного самоуправления обязаны направлять документы для внесения сведений в государственный кадастр недвижимости в случаях принятия ими решений об установлении или изменении границ населенного пункта.</w:t>
      </w:r>
    </w:p>
    <w:p w:rsidR="00747661" w:rsidRPr="00520247" w:rsidRDefault="00747661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10. Обязательным приложением к документам, направляемым в орган кадастрового учета, согласно статье 17 </w:t>
      </w:r>
      <w:r w:rsidR="00747661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Российской Федерации от 03.02.2014 года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требований к формату таких документов в электронной форме»</w:t>
      </w: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является карта – план объекта землеустройства, подготовка которой осуществляется кадастровым инженером.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11. Однако</w:t>
      </w:r>
      <w:r w:rsidR="00714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на практике</w:t>
      </w:r>
      <w:r w:rsidR="00714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из-за дефицита бюджета муниципальных образований</w:t>
      </w:r>
      <w:r w:rsidR="00714E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документы для внесения сведений в государственный кадастр недвижимости сведений о границах населенных пунктов органами местного самоуправления не готовятся и не направляются.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12. Наличие в государственном кадастре недвижимости сведений о границах населенных пунктов позволит: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1) обеспечить доступность и прозрачность государственного учета объектов недвижимости на территории  Карталинского муниципального района Челябинской области;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2) существенно увеличить доходную часть местных бюджетов, так как при расчете кадастровой стоимости земельных участков, входящих в состав границ населенного пункта, сведения о которых содержатся в государственном кадастре недвижимости, будет применен удельный показатель, который значительно выше, чем для остальных категорий земель;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3) уменьшить количество судебных разбирательств по земельным спорам за счет исключения неправомерных случаев предоставления земельных участков за пределами установленной границы населенного пункта;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4) повысить инвестиционную привлекательность Карталинского муниципального района Челябинской области в результате вовлечения в хозяйственный оборот земель частной собственности и повышения фактора целевого использования земель.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13. По информации ФГБУ «ФКП Росреестра» по Челябинской области на 01.06.2017 г</w:t>
      </w:r>
      <w:r w:rsidR="007A0541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ода</w:t>
      </w:r>
      <w:r w:rsidRPr="00520247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в государственном кадастре недвижимости содержатся сведения о границах 1</w:t>
      </w:r>
      <w:r w:rsidRPr="00520247">
        <w:rPr>
          <w:rFonts w:ascii="Times New Roman" w:eastAsia="Times New Roman" w:hAnsi="Times New Roman"/>
          <w:bCs/>
          <w:sz w:val="28"/>
          <w:szCs w:val="28"/>
          <w:highlight w:val="white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населенного пункта, что составляет 0,47 % от общего количества населенных пунктов (47), перечень которых утвержден </w:t>
      </w:r>
      <w:r w:rsidRPr="00520247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>Законом</w:t>
      </w:r>
      <w:r w:rsidRPr="00520247">
        <w:rPr>
          <w:rFonts w:ascii="Times New Roman" w:eastAsia="Times New Roman" w:hAnsi="Times New Roman"/>
          <w:spacing w:val="2"/>
          <w:sz w:val="28"/>
          <w:szCs w:val="28"/>
          <w:highlight w:val="white"/>
          <w:lang w:val="en-US" w:eastAsia="ru-RU"/>
        </w:rPr>
        <w:t> </w:t>
      </w:r>
      <w:r w:rsidRPr="00520247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 xml:space="preserve"> </w:t>
      </w:r>
      <w:r w:rsidR="007A0541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>Челябинской области</w:t>
      </w:r>
      <w:r w:rsidR="00C60DF1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 xml:space="preserve"> </w:t>
      </w:r>
      <w:r w:rsidR="007A0541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>от 14.04.</w:t>
      </w:r>
      <w:r w:rsidRPr="00520247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>2009 г</w:t>
      </w:r>
      <w:r w:rsidR="007A0541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>ода</w:t>
      </w:r>
      <w:r w:rsidR="00C60DF1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>№</w:t>
      </w:r>
      <w:r w:rsidR="00C60DF1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pacing w:val="2"/>
          <w:sz w:val="28"/>
          <w:szCs w:val="28"/>
          <w:highlight w:val="white"/>
          <w:lang w:eastAsia="ru-RU"/>
        </w:rPr>
        <w:t>393-ЗО «О внесении изменения в закон Челябинской области  «О статусе и границах  Карталинского муниципального района, городского и сельских поселений в его составе».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14. Учитывая сложившуюся ситуацию, Аппаратом полномочного представителя Президента Российской Федерации в Уральском федеральном округе рекомендовано Правительству Челябинской области активизировать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работу по установлению границ населенных пунктов и направлению информации для внесения в государственный кадастр недвижимости.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15. Решение вопроса внесения в государственный кадастр недвижимости сведений о границах населенных пунктов </w:t>
      </w:r>
      <w:r w:rsidRPr="005202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Карталинского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7F2E8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Челябинской области программно-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целевым методом представляется наиболее оптимальным. Указанный метод отвечает задаче формирования областного и местного бюджетов в «программном» формате, позволит увязать между собой конкретные результаты, мероприятия и объемы финансирования, необходимые для достижения намеченных целей.</w:t>
      </w:r>
    </w:p>
    <w:p w:rsid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942" w:rsidRPr="00520247" w:rsidRDefault="00EC1942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. Цели, задачи, сроки и этапы реализации</w:t>
      </w:r>
    </w:p>
    <w:p w:rsid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1942" w:rsidRPr="00520247" w:rsidRDefault="00EC1942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16.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</w:t>
      </w:r>
      <w:r w:rsidR="00EC1942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является внесение сведений обо всех населенных пункт</w:t>
      </w:r>
      <w:r w:rsidR="00500E27">
        <w:rPr>
          <w:rFonts w:ascii="Times New Roman" w:eastAsia="Times New Roman" w:hAnsi="Times New Roman"/>
          <w:sz w:val="28"/>
          <w:szCs w:val="28"/>
          <w:lang w:eastAsia="ru-RU"/>
        </w:rPr>
        <w:t xml:space="preserve">ах </w:t>
      </w:r>
      <w:r w:rsidRPr="005202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Карталинского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 в государственный кадастр недвижимости в виде координатного описания, а также пополнение федерального фонда пространственных данных, обеспечивающего индивидуализацию и идентификацию объектов недвижимости на территории Челябинской области.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17.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достижения поставленной цели решается задача по подготовке землеустроительной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</w:r>
      <w:r w:rsidRPr="0052024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Карталинского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Челябинской области.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18. Решение указанной задачи осуществляется посредством проведения землеустроительных работ по описанию местоположения границ населенных пунктов, результатом которых является подготовка карты (плана), содержащей координаты характерных точек границ населенного пункта.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19. Срок реализации мероприятий </w:t>
      </w:r>
      <w:r w:rsidR="00AC5D2D" w:rsidRPr="0052024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5D2D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  <w:r w:rsidR="00500E27">
        <w:rPr>
          <w:rFonts w:ascii="Times New Roman" w:eastAsia="Times New Roman" w:hAnsi="Times New Roman"/>
          <w:sz w:val="28"/>
          <w:szCs w:val="28"/>
          <w:lang w:eastAsia="ru-RU"/>
        </w:rPr>
        <w:t>запланирован на 2017-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2020 годы, с разбивкой на четыре этапа: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520247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</w:t>
      </w:r>
      <w:r w:rsidR="00500E2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год;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52024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</w:t>
      </w:r>
      <w:r w:rsidR="00500E2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год;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520247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</w:t>
      </w:r>
      <w:r w:rsidR="00500E2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год;</w:t>
      </w:r>
    </w:p>
    <w:p w:rsid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520247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</w:t>
      </w:r>
      <w:r w:rsidR="00500E2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год.</w:t>
      </w:r>
    </w:p>
    <w:p w:rsidR="00EC1942" w:rsidRPr="00520247" w:rsidRDefault="00EC1942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942" w:rsidRDefault="00EC1942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942" w:rsidRDefault="00EC1942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942" w:rsidRDefault="00EC1942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942" w:rsidRDefault="00EC1942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942" w:rsidRPr="00520247" w:rsidRDefault="00EC1942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942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III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. Целевые индикаторы достижения целей </w:t>
      </w:r>
    </w:p>
    <w:p w:rsidR="00EC1942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и решения задач, </w:t>
      </w:r>
      <w:r w:rsidR="00EC19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ожидаемые 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конечные результаты</w:t>
      </w:r>
    </w:p>
    <w:p w:rsid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942" w:rsidRPr="00520247" w:rsidRDefault="00EC1942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20. Целевые индикаторы </w:t>
      </w:r>
      <w:r w:rsidR="00AC5D2D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с разбивкой по годам изложены в </w:t>
      </w:r>
      <w:r w:rsidR="00AC5D2D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приложении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настоящей </w:t>
      </w:r>
      <w:r w:rsidR="00AC5D2D" w:rsidRPr="00520247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21. Оценка эффективности реализации </w:t>
      </w:r>
      <w:r w:rsidR="00AC5D2D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путем сравнения фактических и плановых показателей количества населенных пунктов Карталинского муниципального района Челябинской области, сведения о которых содержатся в государственном кадастре недвижимости.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22. Экономический эффект реализации </w:t>
      </w:r>
      <w:r w:rsidR="00F0694F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определяется следующими показателями: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1) подготовка качественной землеустроительной документации;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2) соблюдение сроков подготовки землеустроительной документации, внесения в государственный кадастр недвижимости сведений о границах населенных пунктов;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3) получение положительного заключения экспертной комиссии при Управлении Росреестра по Челябинской области по результатам проведения государственной экспертизы землеустроительной документации.</w:t>
      </w:r>
    </w:p>
    <w:p w:rsid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color w:val="C00000"/>
          <w:sz w:val="28"/>
          <w:szCs w:val="28"/>
          <w:lang w:eastAsia="ru-RU"/>
        </w:rPr>
      </w:pPr>
    </w:p>
    <w:p w:rsidR="00F576D4" w:rsidRPr="00520247" w:rsidRDefault="00F576D4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trike/>
          <w:color w:val="C00000"/>
          <w:sz w:val="28"/>
          <w:szCs w:val="28"/>
          <w:lang w:eastAsia="ru-RU"/>
        </w:rPr>
      </w:pPr>
    </w:p>
    <w:p w:rsidR="00F576D4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. Обобщённая характеристика 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502D10" w:rsidRPr="00520247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</w:p>
    <w:p w:rsid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6D4" w:rsidRPr="00520247" w:rsidRDefault="00F576D4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23. В течение всего периода реализации </w:t>
      </w:r>
      <w:r w:rsidR="00C17EA3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подготовка землеустроительной документации по описанию местоположения границ населенных пунктов Карталинского муниципального района Челябинской области путем предоставления государственной поддержки органам местного самоуправления муниципальных образований Челябинской области.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24. На первом этапе планируется внести в государственный кадастр недвижимости сведения о границах 9 населенных пунктов.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25. На втором этапе планируется внести в государственный кадастр недвижимости сведения о границах 11 населенного пункта.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26. На третьем этапе планируется внести в государственный кадастр недвижимости сведения о границах 13 населенного пункта.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27. На четвертом этапе планируется внести в государственный кадастр недвижимости сведения о границах 14 населенных пунктов.</w:t>
      </w:r>
    </w:p>
    <w:p w:rsid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6D4" w:rsidRPr="00520247" w:rsidRDefault="00F576D4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lastRenderedPageBreak/>
        <w:t>V</w:t>
      </w: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. Обоснование объ</w:t>
      </w:r>
      <w:r w:rsidR="00C17EA3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ма финансовых ресурсов,</w:t>
      </w:r>
    </w:p>
    <w:p w:rsidR="00520247" w:rsidRPr="00520247" w:rsidRDefault="00520247" w:rsidP="0050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необходимых для реализации </w:t>
      </w:r>
      <w:r w:rsidR="00502D10"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</w:p>
    <w:p w:rsid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576D4" w:rsidRPr="00520247" w:rsidRDefault="00F576D4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0247" w:rsidRPr="00520247" w:rsidRDefault="00520247" w:rsidP="007D4B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28.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мероприятий </w:t>
      </w:r>
      <w:r w:rsidR="00C17EA3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средства областного бюджета. Общий объем финансирования </w:t>
      </w:r>
      <w:r w:rsidR="00C17EA3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C17EA3">
        <w:rPr>
          <w:rFonts w:ascii="Times New Roman" w:eastAsia="Times New Roman" w:hAnsi="Times New Roman"/>
          <w:sz w:val="28"/>
          <w:szCs w:val="28"/>
          <w:lang w:eastAsia="ru-RU"/>
        </w:rPr>
        <w:t>на 2017-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2020 годы из средств областного</w:t>
      </w:r>
      <w:r w:rsidR="00C17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и местного бюджетов (в ценах соответствующих лет) составляет  4745,0 тыс. рублей, в том числе:</w:t>
      </w:r>
    </w:p>
    <w:p w:rsidR="00520247" w:rsidRPr="00520247" w:rsidRDefault="00520247" w:rsidP="007D4B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1) 2017 г</w:t>
      </w:r>
      <w:r w:rsidR="00F44ED9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4ED9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945,0 тыс.</w:t>
      </w:r>
      <w:r w:rsidR="00F4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в том </w:t>
      </w:r>
      <w:r w:rsidR="00F44ED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за счет местного бюджета –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45,0 тыс. руб.,  областной бюджет </w:t>
      </w:r>
      <w:r w:rsidR="00F44ED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900,0 тыс.</w:t>
      </w:r>
      <w:r w:rsidR="00F4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F44E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0247" w:rsidRPr="00520247" w:rsidRDefault="00520247" w:rsidP="007D4B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2) 2018 г</w:t>
      </w:r>
      <w:r w:rsidR="00F44ED9">
        <w:rPr>
          <w:rFonts w:ascii="Times New Roman" w:eastAsia="Times New Roman" w:hAnsi="Times New Roman"/>
          <w:bCs/>
          <w:sz w:val="28"/>
          <w:szCs w:val="28"/>
          <w:lang w:eastAsia="ru-RU"/>
        </w:rPr>
        <w:t>од –</w:t>
      </w:r>
      <w:r w:rsidR="005B3D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1100,0 тыс.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руб., в том числе за счет местного бюджета  – 55,0 тыс. руб., областного бюджета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1045,0 тыс.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0247" w:rsidRPr="00520247" w:rsidRDefault="00520247" w:rsidP="007D4B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3) 2019 г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>од –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1300,0 тыс.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в том числе за счет местного 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– 65,0 тыс. руб., областного бюджета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1235,0 тыс.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0247" w:rsidRPr="00520247" w:rsidRDefault="00520247" w:rsidP="007D4B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4) 2020 г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>од –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1400,0 тыс. руб., в том числе за счет местного бюджета местного – 70,0 тыс. руб., областного бюджета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1330,0 тыс.</w:t>
      </w:r>
      <w:r w:rsidR="00CA48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520247" w:rsidRPr="00520247" w:rsidRDefault="00520247" w:rsidP="007D4B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29. Объемы финансирования </w:t>
      </w:r>
      <w:r w:rsidR="00C4254A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из областного и местного бюджетов подлежат ежегодному уточнению по итогам проведения оценки эффективности ее реализации за отчетный период, а также исходя из возможностей областного и местного бюджетов на соответствующий финансовый год.</w:t>
      </w:r>
    </w:p>
    <w:p w:rsidR="00520247" w:rsidRPr="00520247" w:rsidRDefault="00520247" w:rsidP="007D4B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30. Реализация мероприятий </w:t>
      </w:r>
      <w:r w:rsidR="00C4254A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будет осуществляться из средств областного и местного бюджетов в соответствии с федеральной целевой программой «Развитие единой государственной системы регистрации прав и кадастрового учета недвижимости (2014 – 2019 годы)», утвержденной постановлением Правительства Российской Федерации от 10.10.2013</w:t>
      </w:r>
      <w:r w:rsidR="00C425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</w:t>
      </w:r>
      <w:r w:rsidR="00D156E2">
        <w:rPr>
          <w:rFonts w:ascii="Times New Roman" w:eastAsia="Times New Roman" w:hAnsi="Times New Roman"/>
          <w:sz w:val="28"/>
          <w:szCs w:val="28"/>
          <w:lang w:eastAsia="ru-RU"/>
        </w:rPr>
        <w:t>№ 903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247" w:rsidRDefault="00520247" w:rsidP="007D4BF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31. Финансово-экономическое обоснование </w:t>
      </w:r>
      <w:r w:rsidR="00A00F81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представлено в таблице 1.</w:t>
      </w:r>
    </w:p>
    <w:p w:rsidR="007D4BFD" w:rsidRPr="00520247" w:rsidRDefault="00520247" w:rsidP="00A00F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9662" w:type="dxa"/>
        <w:jc w:val="center"/>
        <w:tblInd w:w="546" w:type="dxa"/>
        <w:tblLayout w:type="fixed"/>
        <w:tblLook w:val="04A0"/>
      </w:tblPr>
      <w:tblGrid>
        <w:gridCol w:w="3248"/>
        <w:gridCol w:w="3260"/>
        <w:gridCol w:w="3154"/>
      </w:tblGrid>
      <w:tr w:rsidR="00520247" w:rsidRPr="00520247" w:rsidTr="00A00F81">
        <w:trPr>
          <w:trHeight w:val="296"/>
          <w:jc w:val="center"/>
        </w:trPr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расходов областного бюджета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расходов местного бюджета</w:t>
            </w:r>
          </w:p>
        </w:tc>
      </w:tr>
      <w:tr w:rsidR="00520247" w:rsidRPr="00520247" w:rsidTr="00A00F81">
        <w:trPr>
          <w:trHeight w:val="1"/>
          <w:jc w:val="center"/>
        </w:trPr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местному бюджету  на проведение землеустроительных работ по описанию местоположения границ населенных пунктов Карталинского муниципального района Челябинской области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финансирования:</w:t>
            </w:r>
          </w:p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бюджет:</w:t>
            </w:r>
          </w:p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900,00 тыс. рублей;</w:t>
            </w:r>
          </w:p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1045,00 тыс. рублей;</w:t>
            </w:r>
          </w:p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1235,00 тыс. рублей;</w:t>
            </w:r>
          </w:p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2020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– 1330,0 тыс. рублей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финансирования:</w:t>
            </w:r>
          </w:p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бюджет:</w:t>
            </w:r>
          </w:p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45,00 тыс. рублей;</w:t>
            </w:r>
          </w:p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55,00 тыс. рублей;</w:t>
            </w:r>
          </w:p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65,00 тыс. рублей;</w:t>
            </w:r>
          </w:p>
          <w:p w:rsidR="00520247" w:rsidRPr="00520247" w:rsidRDefault="00520247" w:rsidP="00E44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2020 </w:t>
            </w:r>
            <w:r w:rsidRPr="005202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– 70,0 тыс. рублей</w:t>
            </w:r>
          </w:p>
        </w:tc>
      </w:tr>
    </w:tbl>
    <w:p w:rsidR="00520247" w:rsidRPr="00520247" w:rsidRDefault="00520247" w:rsidP="00E44E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32. Финансирование </w:t>
      </w:r>
      <w:r w:rsidR="00313EFB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на 2018</w:t>
      </w:r>
      <w:r w:rsidR="00313EF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2020 годы за счет средств областного и местного бюджетов будет ежегодно уточняться при подготовке проекта областного и местного бюджетов на очередной финансовый период в соответствии с предварительной оценкой расходов областного и местного бюджетов на реализацию государственных програ</w:t>
      </w:r>
      <w:r w:rsidR="00313EFB">
        <w:rPr>
          <w:rFonts w:ascii="Times New Roman" w:eastAsia="Times New Roman" w:hAnsi="Times New Roman"/>
          <w:sz w:val="28"/>
          <w:szCs w:val="28"/>
          <w:lang w:eastAsia="ru-RU"/>
        </w:rPr>
        <w:t>мм Челябинской области в 2017-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2020 годах, доведенной Министерством финансов Челябинской области до ответственных исполнителей государственных программ Челябинской области.</w:t>
      </w:r>
    </w:p>
    <w:p w:rsid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6E2" w:rsidRPr="00520247" w:rsidRDefault="00D156E2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E44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Механизмы реализации </w:t>
      </w:r>
      <w:r w:rsidR="00E44E9A" w:rsidRPr="00520247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Программы</w:t>
      </w:r>
    </w:p>
    <w:p w:rsid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6E2" w:rsidRPr="00520247" w:rsidRDefault="00D156E2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247" w:rsidRPr="00520247" w:rsidRDefault="00520247" w:rsidP="00E44E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33. Ежегодно ответственный исполнитель </w:t>
      </w:r>
      <w:r w:rsidR="00353E38"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проводить отбор сельских поселений Карталинского муниципального района Челябинской области для участия в реализации мероприятий </w:t>
      </w:r>
      <w:r w:rsidR="00D156E2" w:rsidRPr="00520247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247" w:rsidRPr="00520247" w:rsidRDefault="00520247" w:rsidP="00E44E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34. Ответственный исполнитель</w:t>
      </w:r>
      <w:r w:rsidR="00353E3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353E3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 июля года, предшествующего планируемому, представляет в Министерство имущества и природных ресурсов Челябинской области  заявки на участие в программе на основе условий участия.</w:t>
      </w:r>
    </w:p>
    <w:p w:rsidR="00520247" w:rsidRPr="00520247" w:rsidRDefault="00520247" w:rsidP="00E44E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63E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63E90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осуществляет:</w:t>
      </w:r>
    </w:p>
    <w:p w:rsidR="00520247" w:rsidRPr="00520247" w:rsidRDefault="00520247" w:rsidP="00E44E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1) подготовку и предоставление Министерству имущества и природных ресурсов Челябинской области сведений о наличии утвержденного генерального плана поселения, отображающего границы населенных пунктов, входящих в состав поселения, включающих карту границ населенного пункта и перечень земельных участков, которые включаются в границы населенных пунктов, или исключаются из их границ с указанием категории земель, к которым планируется отнести эти земельные участки, и целей их планируемого использования или генерального плана отдельного населенного пункта;</w:t>
      </w:r>
    </w:p>
    <w:p w:rsidR="00520247" w:rsidRPr="00520247" w:rsidRDefault="00520247" w:rsidP="00E44E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2) контроль за ходом реализации программы на территории муниципального образования;</w:t>
      </w:r>
    </w:p>
    <w:p w:rsidR="00520247" w:rsidRPr="00520247" w:rsidRDefault="00520247" w:rsidP="00E44E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3) предоставление отчетов Министерству имущества и природных ресурсов Челябинской области об использовании средств областного бюджета, выделенных на реализацию мероприятий программы;</w:t>
      </w:r>
    </w:p>
    <w:p w:rsidR="00520247" w:rsidRPr="00520247" w:rsidRDefault="00520247" w:rsidP="00E44E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4) предоставление Министерству имущества и природных ресурсов Челябинской области отчетов о проведении торгов, конкурсов.</w:t>
      </w:r>
    </w:p>
    <w:p w:rsidR="00520247" w:rsidRPr="00520247" w:rsidRDefault="00520247" w:rsidP="00520247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520247" w:rsidRPr="00520247" w:rsidSect="002B2788">
          <w:headerReference w:type="default" r:id="rId6"/>
          <w:pgSz w:w="12240" w:h="15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A201A9" w:rsidRDefault="00A201A9" w:rsidP="0086251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520247" w:rsidRPr="00520247" w:rsidRDefault="00520247" w:rsidP="0086251F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A201A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программе «Внесение в государственный кадастр недвижимости сведений о границах населенных пунктов Карталинского муниципального района Челябинской области</w:t>
      </w:r>
      <w:r w:rsidR="00862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на 2017-2020 годы»</w:t>
      </w:r>
    </w:p>
    <w:p w:rsidR="00520247" w:rsidRPr="00520247" w:rsidRDefault="00520247" w:rsidP="00A20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1A9" w:rsidRDefault="00520247" w:rsidP="00A20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индикаторы. Перечень населенных пунктов Карталинского </w:t>
      </w:r>
    </w:p>
    <w:p w:rsidR="00A201A9" w:rsidRDefault="00520247" w:rsidP="00A20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Челябинской области, сведения о границах которых требуется </w:t>
      </w:r>
    </w:p>
    <w:p w:rsidR="00520247" w:rsidRPr="00520247" w:rsidRDefault="00520247" w:rsidP="00A20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47">
        <w:rPr>
          <w:rFonts w:ascii="Times New Roman" w:eastAsia="Times New Roman" w:hAnsi="Times New Roman"/>
          <w:sz w:val="28"/>
          <w:szCs w:val="28"/>
          <w:lang w:eastAsia="ru-RU"/>
        </w:rPr>
        <w:t>внести в государственный кадастр недвижимости на 2017-2020 годы</w:t>
      </w:r>
    </w:p>
    <w:p w:rsidR="00520247" w:rsidRPr="00520247" w:rsidRDefault="00520247" w:rsidP="00520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53" w:type="dxa"/>
        <w:jc w:val="center"/>
        <w:tblInd w:w="-1040" w:type="dxa"/>
        <w:tblLayout w:type="fixed"/>
        <w:tblLook w:val="04A0"/>
      </w:tblPr>
      <w:tblGrid>
        <w:gridCol w:w="1543"/>
        <w:gridCol w:w="1134"/>
        <w:gridCol w:w="1843"/>
        <w:gridCol w:w="992"/>
        <w:gridCol w:w="1843"/>
        <w:gridCol w:w="992"/>
        <w:gridCol w:w="1984"/>
        <w:gridCol w:w="993"/>
        <w:gridCol w:w="2076"/>
        <w:gridCol w:w="897"/>
        <w:gridCol w:w="1656"/>
      </w:tblGrid>
      <w:tr w:rsidR="003921AD" w:rsidRPr="00833DFD" w:rsidTr="00AC368C">
        <w:trPr>
          <w:trHeight w:val="427"/>
          <w:jc w:val="center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833DFD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  <w:p w:rsidR="003921AD" w:rsidRPr="00520247" w:rsidRDefault="003921AD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населенных пунктов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населенных пунктов, сведения о границах которых внесены в государственный кадастр недвижимости</w:t>
            </w:r>
          </w:p>
        </w:tc>
        <w:tc>
          <w:tcPr>
            <w:tcW w:w="1143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населенных пунктов, сведения о границах которых планируется внести в ГКН за счет средств бюджета Челябинской области  на период 2017-2020 годы (предварительные данные)</w:t>
            </w:r>
          </w:p>
        </w:tc>
      </w:tr>
      <w:tr w:rsidR="00833DFD" w:rsidRPr="00833DFD" w:rsidTr="00833DFD">
        <w:trPr>
          <w:trHeight w:val="330"/>
          <w:jc w:val="center"/>
        </w:trPr>
        <w:tc>
          <w:tcPr>
            <w:tcW w:w="1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2017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2018</w:t>
            </w:r>
          </w:p>
        </w:tc>
        <w:tc>
          <w:tcPr>
            <w:tcW w:w="3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2019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val="en-US" w:eastAsia="ru-RU"/>
              </w:rPr>
              <w:t>2020</w:t>
            </w:r>
          </w:p>
        </w:tc>
      </w:tr>
      <w:tr w:rsidR="00833DFD" w:rsidRPr="00833DFD" w:rsidTr="00AC368C">
        <w:trPr>
          <w:trHeight w:val="273"/>
          <w:jc w:val="center"/>
        </w:trPr>
        <w:tc>
          <w:tcPr>
            <w:tcW w:w="1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3921AD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33DFD">
              <w:rPr>
                <w:rFonts w:ascii="Times New Roman" w:eastAsia="Times New Roman" w:hAnsi="Times New Roman"/>
                <w:color w:val="000000"/>
                <w:lang w:eastAsia="ru-RU"/>
              </w:rPr>
              <w:t>Количес-тво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21AD" w:rsidRPr="00833DFD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населенных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пунктов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3921AD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33DFD">
              <w:rPr>
                <w:rFonts w:ascii="Times New Roman" w:eastAsia="Times New Roman" w:hAnsi="Times New Roman"/>
                <w:color w:val="000000"/>
                <w:lang w:eastAsia="ru-RU"/>
              </w:rPr>
              <w:t>Количес-тво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населенных пунктов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3921AD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33DFD">
              <w:rPr>
                <w:rFonts w:ascii="Times New Roman" w:eastAsia="Times New Roman" w:hAnsi="Times New Roman"/>
                <w:color w:val="000000"/>
                <w:lang w:eastAsia="ru-RU"/>
              </w:rPr>
              <w:t>Количес-тво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населенных пунктов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3921AD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33DFD">
              <w:rPr>
                <w:rFonts w:ascii="Times New Roman" w:eastAsia="Times New Roman" w:hAnsi="Times New Roman"/>
                <w:color w:val="000000"/>
                <w:lang w:eastAsia="ru-RU"/>
              </w:rPr>
              <w:t>Количес-тво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населенных пунктов</w:t>
            </w:r>
          </w:p>
        </w:tc>
      </w:tr>
      <w:tr w:rsidR="00833DFD" w:rsidRPr="00833DFD" w:rsidTr="00833DFD">
        <w:trPr>
          <w:trHeight w:val="90"/>
          <w:jc w:val="center"/>
        </w:trPr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Карталинский муниципальный район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val="en-US" w:eastAsia="ru-RU"/>
              </w:rPr>
              <w:t>47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Варшавка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Каракуль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Мичуринский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с. Новониколаевка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Песчанка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Родники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Сенной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Снежный</w:t>
            </w:r>
          </w:p>
          <w:p w:rsidR="00520247" w:rsidRPr="00520247" w:rsidRDefault="003921AD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DFD">
              <w:rPr>
                <w:rFonts w:ascii="Times New Roman" w:eastAsia="Times New Roman" w:hAnsi="Times New Roman"/>
                <w:color w:val="000000"/>
                <w:lang w:eastAsia="ru-RU"/>
              </w:rPr>
              <w:t>п. Южно-</w:t>
            </w:r>
            <w:r w:rsidR="00520247"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Степной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с. Анненское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с.</w:t>
            </w:r>
            <w:r w:rsidR="003921AD" w:rsidRPr="00833D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Великопетровка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Джабык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с. Еленинка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Запасное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Мочаги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3921AD" w:rsidRPr="00833D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Новокаолиновый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Ольховка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Сезонное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Система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Санаторный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Вишневый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Сенной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Рассветный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3921AD" w:rsidRPr="00833D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Сухореченский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п.Озёрный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Некрасово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Красный Яр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Краснотал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Степан Разин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п.Центральный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с.</w:t>
            </w:r>
            <w:r w:rsidR="003921AD" w:rsidRPr="00833D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Елизаветопольское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с. Неплюевка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</w:t>
            </w:r>
            <w:r w:rsidR="003921AD" w:rsidRPr="00833D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Первомайка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Коноплянка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Гирьял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Акмулла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Тумак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Чеголок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Гражданский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с. Татищево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д. Горная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с. Кизилчилик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Новокатенино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Разъезд 61 км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Арчалы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118 км</w:t>
            </w:r>
          </w:p>
          <w:p w:rsidR="00520247" w:rsidRPr="00520247" w:rsidRDefault="00520247" w:rsidP="00833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20247">
              <w:rPr>
                <w:rFonts w:ascii="Times New Roman" w:eastAsia="Times New Roman" w:hAnsi="Times New Roman"/>
                <w:color w:val="000000"/>
                <w:lang w:eastAsia="ru-RU"/>
              </w:rPr>
              <w:t>п. Сезонное</w:t>
            </w:r>
          </w:p>
        </w:tc>
      </w:tr>
    </w:tbl>
    <w:p w:rsidR="003F62CB" w:rsidRPr="00216DF8" w:rsidRDefault="003F62CB" w:rsidP="008E25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216DF8" w:rsidSect="0086251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416" w:rsidRDefault="00F91416" w:rsidP="002B2788">
      <w:pPr>
        <w:spacing w:after="0" w:line="240" w:lineRule="auto"/>
      </w:pPr>
      <w:r>
        <w:separator/>
      </w:r>
    </w:p>
  </w:endnote>
  <w:endnote w:type="continuationSeparator" w:id="0">
    <w:p w:rsidR="00F91416" w:rsidRDefault="00F91416" w:rsidP="002B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416" w:rsidRDefault="00F91416" w:rsidP="002B2788">
      <w:pPr>
        <w:spacing w:after="0" w:line="240" w:lineRule="auto"/>
      </w:pPr>
      <w:r>
        <w:separator/>
      </w:r>
    </w:p>
  </w:footnote>
  <w:footnote w:type="continuationSeparator" w:id="0">
    <w:p w:rsidR="00F91416" w:rsidRDefault="00F91416" w:rsidP="002B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6969"/>
      <w:docPartObj>
        <w:docPartGallery w:val="Page Numbers (Top of Page)"/>
        <w:docPartUnique/>
      </w:docPartObj>
    </w:sdtPr>
    <w:sdtContent>
      <w:p w:rsidR="002B2788" w:rsidRDefault="00BC2518" w:rsidP="002B2788">
        <w:pPr>
          <w:pStyle w:val="a5"/>
          <w:jc w:val="center"/>
        </w:pPr>
        <w:r w:rsidRPr="002B2788">
          <w:rPr>
            <w:rFonts w:ascii="Times New Roman" w:hAnsi="Times New Roman"/>
            <w:sz w:val="28"/>
            <w:szCs w:val="28"/>
          </w:rPr>
          <w:fldChar w:fldCharType="begin"/>
        </w:r>
        <w:r w:rsidR="002B2788" w:rsidRPr="002B27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B2788">
          <w:rPr>
            <w:rFonts w:ascii="Times New Roman" w:hAnsi="Times New Roman"/>
            <w:sz w:val="28"/>
            <w:szCs w:val="28"/>
          </w:rPr>
          <w:fldChar w:fldCharType="separate"/>
        </w:r>
        <w:r w:rsidR="00050E8E">
          <w:rPr>
            <w:rFonts w:ascii="Times New Roman" w:hAnsi="Times New Roman"/>
            <w:noProof/>
            <w:sz w:val="28"/>
            <w:szCs w:val="28"/>
          </w:rPr>
          <w:t>2</w:t>
        </w:r>
        <w:r w:rsidRPr="002B27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50E8E"/>
    <w:rsid w:val="000673D1"/>
    <w:rsid w:val="000703FD"/>
    <w:rsid w:val="000F5DCE"/>
    <w:rsid w:val="001206AD"/>
    <w:rsid w:val="00152297"/>
    <w:rsid w:val="001740BC"/>
    <w:rsid w:val="001861A8"/>
    <w:rsid w:val="001B1DA1"/>
    <w:rsid w:val="001C1801"/>
    <w:rsid w:val="001C2CDC"/>
    <w:rsid w:val="00216DF8"/>
    <w:rsid w:val="002358D4"/>
    <w:rsid w:val="0028018E"/>
    <w:rsid w:val="00284D41"/>
    <w:rsid w:val="002B2788"/>
    <w:rsid w:val="002B69DF"/>
    <w:rsid w:val="002E21AB"/>
    <w:rsid w:val="00313EFB"/>
    <w:rsid w:val="00314603"/>
    <w:rsid w:val="00342988"/>
    <w:rsid w:val="00353E38"/>
    <w:rsid w:val="00354CE2"/>
    <w:rsid w:val="003554DD"/>
    <w:rsid w:val="00382A7C"/>
    <w:rsid w:val="00384720"/>
    <w:rsid w:val="003921AD"/>
    <w:rsid w:val="00396F39"/>
    <w:rsid w:val="003A1ACB"/>
    <w:rsid w:val="003C3C8B"/>
    <w:rsid w:val="003D3E35"/>
    <w:rsid w:val="003E7A92"/>
    <w:rsid w:val="003F62CB"/>
    <w:rsid w:val="00407102"/>
    <w:rsid w:val="00446513"/>
    <w:rsid w:val="00460739"/>
    <w:rsid w:val="004813E8"/>
    <w:rsid w:val="00482386"/>
    <w:rsid w:val="004D283A"/>
    <w:rsid w:val="004E74D8"/>
    <w:rsid w:val="00500E27"/>
    <w:rsid w:val="00502D10"/>
    <w:rsid w:val="00504E2D"/>
    <w:rsid w:val="00520247"/>
    <w:rsid w:val="005A51BF"/>
    <w:rsid w:val="005B3D2D"/>
    <w:rsid w:val="005D0850"/>
    <w:rsid w:val="00626445"/>
    <w:rsid w:val="006440C0"/>
    <w:rsid w:val="0064727D"/>
    <w:rsid w:val="00680664"/>
    <w:rsid w:val="006958FF"/>
    <w:rsid w:val="006D51BC"/>
    <w:rsid w:val="007051AD"/>
    <w:rsid w:val="00714E5B"/>
    <w:rsid w:val="0072519A"/>
    <w:rsid w:val="00747661"/>
    <w:rsid w:val="00797656"/>
    <w:rsid w:val="007A0541"/>
    <w:rsid w:val="007D4BFD"/>
    <w:rsid w:val="007E4A21"/>
    <w:rsid w:val="007E6E33"/>
    <w:rsid w:val="007F2E83"/>
    <w:rsid w:val="008207C8"/>
    <w:rsid w:val="00830F76"/>
    <w:rsid w:val="00832DAB"/>
    <w:rsid w:val="00833DFD"/>
    <w:rsid w:val="00836400"/>
    <w:rsid w:val="00837826"/>
    <w:rsid w:val="0086251F"/>
    <w:rsid w:val="0086315C"/>
    <w:rsid w:val="00877B89"/>
    <w:rsid w:val="00895F0D"/>
    <w:rsid w:val="008A5943"/>
    <w:rsid w:val="008E250D"/>
    <w:rsid w:val="0091518B"/>
    <w:rsid w:val="00927051"/>
    <w:rsid w:val="00937252"/>
    <w:rsid w:val="00962D9A"/>
    <w:rsid w:val="00A00F81"/>
    <w:rsid w:val="00A201A9"/>
    <w:rsid w:val="00A35BE4"/>
    <w:rsid w:val="00A47174"/>
    <w:rsid w:val="00A577C6"/>
    <w:rsid w:val="00A64062"/>
    <w:rsid w:val="00AA4C80"/>
    <w:rsid w:val="00AC368C"/>
    <w:rsid w:val="00AC3B48"/>
    <w:rsid w:val="00AC4279"/>
    <w:rsid w:val="00AC5D2D"/>
    <w:rsid w:val="00B20C0A"/>
    <w:rsid w:val="00B315AB"/>
    <w:rsid w:val="00B335F9"/>
    <w:rsid w:val="00B352BE"/>
    <w:rsid w:val="00B612E2"/>
    <w:rsid w:val="00B63E90"/>
    <w:rsid w:val="00B7084E"/>
    <w:rsid w:val="00B93D5A"/>
    <w:rsid w:val="00BC2518"/>
    <w:rsid w:val="00BF2B2A"/>
    <w:rsid w:val="00C17EA3"/>
    <w:rsid w:val="00C4254A"/>
    <w:rsid w:val="00C50752"/>
    <w:rsid w:val="00C50B08"/>
    <w:rsid w:val="00C60DF1"/>
    <w:rsid w:val="00C618FE"/>
    <w:rsid w:val="00C93F7F"/>
    <w:rsid w:val="00CA4854"/>
    <w:rsid w:val="00CB7814"/>
    <w:rsid w:val="00CC0CA3"/>
    <w:rsid w:val="00CD5876"/>
    <w:rsid w:val="00CE2030"/>
    <w:rsid w:val="00CF214C"/>
    <w:rsid w:val="00D156E2"/>
    <w:rsid w:val="00D306D1"/>
    <w:rsid w:val="00D80280"/>
    <w:rsid w:val="00D96777"/>
    <w:rsid w:val="00DA1CD8"/>
    <w:rsid w:val="00DA7806"/>
    <w:rsid w:val="00DB267E"/>
    <w:rsid w:val="00DC299F"/>
    <w:rsid w:val="00E16147"/>
    <w:rsid w:val="00E1799A"/>
    <w:rsid w:val="00E200C2"/>
    <w:rsid w:val="00E3326C"/>
    <w:rsid w:val="00E44E9A"/>
    <w:rsid w:val="00E6064E"/>
    <w:rsid w:val="00E6408E"/>
    <w:rsid w:val="00E66B02"/>
    <w:rsid w:val="00E9397B"/>
    <w:rsid w:val="00EC1942"/>
    <w:rsid w:val="00ED361E"/>
    <w:rsid w:val="00EE5F62"/>
    <w:rsid w:val="00F0694F"/>
    <w:rsid w:val="00F44ED9"/>
    <w:rsid w:val="00F576D4"/>
    <w:rsid w:val="00F67DA0"/>
    <w:rsid w:val="00F770D4"/>
    <w:rsid w:val="00F91416"/>
    <w:rsid w:val="00F9399D"/>
    <w:rsid w:val="00FB2394"/>
    <w:rsid w:val="00FB270E"/>
    <w:rsid w:val="00FE4646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7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B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27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2889</Words>
  <Characters>16468</Characters>
  <Application>Microsoft Office Word</Application>
  <DocSecurity>0</DocSecurity>
  <Lines>137</Lines>
  <Paragraphs>38</Paragraphs>
  <ScaleCrop>false</ScaleCrop>
  <Company>Microsoft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2017-07-25T07:53:00Z</cp:lastPrinted>
  <dcterms:created xsi:type="dcterms:W3CDTF">2017-07-24T10:16:00Z</dcterms:created>
  <dcterms:modified xsi:type="dcterms:W3CDTF">2017-07-31T10:50:00Z</dcterms:modified>
</cp:coreProperties>
</file>