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ПРОТОКОЛ  №  3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заседания  Общественного совета по проведению </w:t>
      </w:r>
      <w:proofErr w:type="gramStart"/>
      <w:r w:rsidRPr="003E2094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оценки качества оказания услуг организациями в сфере культуры,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«14» декабря </w:t>
      </w:r>
      <w:r w:rsidRPr="003E2094">
        <w:rPr>
          <w:rFonts w:ascii="Times New Roman" w:hAnsi="Times New Roman" w:cs="Times New Roman"/>
          <w:sz w:val="28"/>
          <w:szCs w:val="28"/>
        </w:rPr>
        <w:t>2016  года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 Место проведения заседания:  </w:t>
      </w:r>
      <w:proofErr w:type="spellStart"/>
      <w:r w:rsidRPr="003E20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20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2094">
        <w:rPr>
          <w:rFonts w:ascii="Times New Roman" w:hAnsi="Times New Roman" w:cs="Times New Roman"/>
          <w:sz w:val="28"/>
          <w:szCs w:val="28"/>
        </w:rPr>
        <w:t>арталы</w:t>
      </w:r>
      <w:proofErr w:type="spellEnd"/>
      <w:r w:rsidRPr="003E2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094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3E2094">
        <w:rPr>
          <w:rFonts w:ascii="Times New Roman" w:hAnsi="Times New Roman" w:cs="Times New Roman"/>
          <w:sz w:val="28"/>
          <w:szCs w:val="28"/>
        </w:rPr>
        <w:t xml:space="preserve"> 1, администрация Карталинского муниципального района, Управление по делам культуры и спорта Карталинского муниципального района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Члены Общественного совета: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2094">
        <w:rPr>
          <w:rFonts w:ascii="Times New Roman" w:hAnsi="Times New Roman" w:cs="Times New Roman"/>
          <w:sz w:val="28"/>
          <w:szCs w:val="28"/>
        </w:rPr>
        <w:t>Гаврилкова</w:t>
      </w:r>
      <w:proofErr w:type="spellEnd"/>
      <w:r w:rsidRPr="003E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Светлана Борисовна      - председатель Общественного совета,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E209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094">
        <w:rPr>
          <w:rFonts w:ascii="Times New Roman" w:hAnsi="Times New Roman" w:cs="Times New Roman"/>
          <w:sz w:val="28"/>
          <w:szCs w:val="28"/>
        </w:rPr>
        <w:t>организации «Матерей  и детей,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2094">
        <w:rPr>
          <w:rFonts w:ascii="Times New Roman" w:hAnsi="Times New Roman" w:cs="Times New Roman"/>
          <w:sz w:val="28"/>
          <w:szCs w:val="28"/>
        </w:rPr>
        <w:t>погибших в горячих точках»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2094"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адеев</w:t>
      </w:r>
      <w:proofErr w:type="spellEnd"/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Юрьевич             </w:t>
      </w:r>
      <w:r w:rsidRPr="003E2094">
        <w:rPr>
          <w:rFonts w:ascii="Times New Roman" w:hAnsi="Times New Roman" w:cs="Times New Roman"/>
          <w:sz w:val="28"/>
          <w:szCs w:val="28"/>
        </w:rPr>
        <w:t xml:space="preserve"> - индивидуальный   предприниматель;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E2094"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094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>Кадочникова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Тамара Васильевна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0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094">
        <w:rPr>
          <w:rFonts w:ascii="Times New Roman" w:hAnsi="Times New Roman" w:cs="Times New Roman"/>
          <w:sz w:val="28"/>
          <w:szCs w:val="28"/>
        </w:rPr>
        <w:t xml:space="preserve"> председатель Общественной  организации «Память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Сердца»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</w:t>
      </w:r>
      <w:r w:rsidRPr="003E20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>Борисова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Елена Александровна 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исполкома </w:t>
      </w:r>
      <w:r w:rsidRPr="003E2094">
        <w:rPr>
          <w:rFonts w:ascii="Times New Roman" w:hAnsi="Times New Roman" w:cs="Times New Roman"/>
          <w:sz w:val="28"/>
          <w:szCs w:val="28"/>
        </w:rPr>
        <w:t xml:space="preserve">Карталинского местного 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094">
        <w:rPr>
          <w:rFonts w:ascii="Times New Roman" w:hAnsi="Times New Roman" w:cs="Times New Roman"/>
          <w:sz w:val="28"/>
          <w:szCs w:val="28"/>
        </w:rPr>
        <w:t>отделения Всероссийской партии «Единая Россия».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Сергеевна        – начальник Управления по делам культуры.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спорта Карталинского муниципального района.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094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>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Николаевна -</w:t>
      </w:r>
      <w:r w:rsidRPr="003E209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УДКС КМР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Волков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Марина Ильинична     - заместитель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Централизованной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бухгалтерии УДКС </w:t>
      </w:r>
    </w:p>
    <w:p w:rsidR="003E2094" w:rsidRPr="003E2094" w:rsidRDefault="003E2094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E2094" w:rsidRDefault="00B92CEC" w:rsidP="003E2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ч</w:t>
      </w:r>
      <w:r w:rsidR="003E2094" w:rsidRPr="003E2094">
        <w:rPr>
          <w:rFonts w:ascii="Times New Roman" w:hAnsi="Times New Roman" w:cs="Times New Roman"/>
          <w:sz w:val="28"/>
          <w:szCs w:val="28"/>
        </w:rPr>
        <w:t>ленов Обще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совета </w:t>
      </w:r>
      <w:r w:rsidR="003E2094" w:rsidRPr="003E2094">
        <w:rPr>
          <w:rFonts w:ascii="Times New Roman" w:hAnsi="Times New Roman" w:cs="Times New Roman"/>
          <w:sz w:val="28"/>
          <w:szCs w:val="28"/>
        </w:rPr>
        <w:t>– 5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094" w:rsidRPr="003E2094">
        <w:rPr>
          <w:rFonts w:ascii="Times New Roman" w:hAnsi="Times New Roman" w:cs="Times New Roman"/>
          <w:sz w:val="28"/>
          <w:szCs w:val="28"/>
        </w:rPr>
        <w:t xml:space="preserve"> Кворум имеется.</w:t>
      </w:r>
    </w:p>
    <w:p w:rsidR="00B92CEC" w:rsidRPr="00B92CEC" w:rsidRDefault="00B92CEC" w:rsidP="003E2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2094" w:rsidRPr="00B92CEC" w:rsidRDefault="003E2094" w:rsidP="003E2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2CEC">
        <w:rPr>
          <w:rFonts w:ascii="Times New Roman" w:hAnsi="Times New Roman" w:cs="Times New Roman"/>
          <w:b/>
          <w:sz w:val="28"/>
          <w:szCs w:val="28"/>
        </w:rPr>
        <w:t xml:space="preserve">  Повестка дня:</w:t>
      </w:r>
    </w:p>
    <w:p w:rsidR="00B92CEC" w:rsidRDefault="00B92CEC" w:rsidP="00B92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начальника УДКС КМР Михайловой Т.С.</w:t>
      </w:r>
    </w:p>
    <w:p w:rsidR="00B92CEC" w:rsidRDefault="00B92CEC" w:rsidP="00B92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культуры Карталинского района.</w:t>
      </w:r>
    </w:p>
    <w:p w:rsidR="00B92CEC" w:rsidRDefault="00B92CEC" w:rsidP="00B92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Общественного совета по результатам независимой оценки качества оказания услуг в адрес Управления по делам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порта Карталинского района.</w:t>
      </w:r>
    </w:p>
    <w:p w:rsidR="004C6488" w:rsidRDefault="004C6488" w:rsidP="004C64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92CEC" w:rsidRPr="004C6488" w:rsidRDefault="00B92CEC" w:rsidP="00B92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48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2CEC" w:rsidRDefault="00B92CEC" w:rsidP="00B92CEC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1.Принять и утвердить настоящим протоколом  результаты независимой оценки качества оказания услуг, проведённой в отношении муниципальных учреждений культуры в 2016году:</w:t>
      </w:r>
      <w:r w:rsidRPr="00B92CEC">
        <w:t xml:space="preserve"> </w:t>
      </w:r>
    </w:p>
    <w:p w:rsidR="00B92CEC" w:rsidRPr="00B92CEC" w:rsidRDefault="00B92CEC" w:rsidP="00B9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Муниципальное  учреждение «Централизованная библиотечная система» Карталинского  муниципального района;</w:t>
      </w:r>
    </w:p>
    <w:p w:rsidR="00B92CEC" w:rsidRPr="00B92CEC" w:rsidRDefault="00B92CEC" w:rsidP="00B9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Муниципальное учреждение Историко-краеведческий музей» Карталинского    муниципального района;</w:t>
      </w:r>
    </w:p>
    <w:p w:rsidR="00B92CEC" w:rsidRPr="00B92CEC" w:rsidRDefault="00B92CEC" w:rsidP="00B9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Дом культуры «Россия»;</w:t>
      </w:r>
    </w:p>
    <w:p w:rsidR="00B92CEC" w:rsidRPr="00B92CEC" w:rsidRDefault="00B92CEC" w:rsidP="00B9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 xml:space="preserve">Муниципальное учреждение централизованная клубная система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92CEC" w:rsidRPr="00B92CEC" w:rsidRDefault="00B92CEC" w:rsidP="00B9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 xml:space="preserve">Муниципальное учреждение «Централизованная клубная система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B92CEC" w:rsidRDefault="00B92CEC" w:rsidP="00B9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 xml:space="preserve">Муниципальное учреждение «Централизованная клубная система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Великопетровского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 в адрес Управления по делам культуры и спорта Карталинского муниципального района предложения Общественного совета об улучшении качества деятельности, подготовленные по результатам независимой оценки качества оказания услуг, проведённой в отношении учреждений культуры:</w:t>
      </w:r>
    </w:p>
    <w:p w:rsidR="00B92CEC" w:rsidRPr="00B92CEC" w:rsidRDefault="004C6488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2CEC">
        <w:rPr>
          <w:rFonts w:ascii="Times New Roman" w:hAnsi="Times New Roman" w:cs="Times New Roman"/>
          <w:sz w:val="28"/>
          <w:szCs w:val="28"/>
        </w:rPr>
        <w:t>.</w:t>
      </w:r>
      <w:r w:rsidR="00B92CEC" w:rsidRPr="00B92CEC">
        <w:t xml:space="preserve"> </w:t>
      </w:r>
      <w:r w:rsidR="00B92CEC" w:rsidRPr="00B92CEC">
        <w:rPr>
          <w:rFonts w:ascii="Times New Roman" w:hAnsi="Times New Roman" w:cs="Times New Roman"/>
          <w:sz w:val="28"/>
          <w:szCs w:val="28"/>
        </w:rPr>
        <w:t>Муниципальное  учреждение «Централизованная библиотечная система» Карталинского  муниципального района;</w:t>
      </w:r>
    </w:p>
    <w:p w:rsidR="00B92CEC" w:rsidRP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2.</w:t>
      </w:r>
      <w:r w:rsidRPr="00B92CEC">
        <w:rPr>
          <w:rFonts w:ascii="Times New Roman" w:hAnsi="Times New Roman" w:cs="Times New Roman"/>
          <w:sz w:val="28"/>
          <w:szCs w:val="28"/>
        </w:rPr>
        <w:tab/>
        <w:t>Муниципальное учреждение Историко-краеведческий музей» Карталинского    муниципального района;</w:t>
      </w:r>
    </w:p>
    <w:p w:rsidR="00B92CEC" w:rsidRP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3.</w:t>
      </w:r>
      <w:r w:rsidRPr="00B92CEC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Дом культуры «Россия»;</w:t>
      </w:r>
    </w:p>
    <w:p w:rsidR="00B92CEC" w:rsidRP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4.</w:t>
      </w:r>
      <w:r w:rsidRPr="00B92CEC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централизованная клубная система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92CEC" w:rsidRP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5.</w:t>
      </w:r>
      <w:r w:rsidRPr="00B92CEC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«Централизованная клубная система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B92CEC" w:rsidRDefault="00B92CEC" w:rsidP="00B92C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CEC">
        <w:rPr>
          <w:rFonts w:ascii="Times New Roman" w:hAnsi="Times New Roman" w:cs="Times New Roman"/>
          <w:sz w:val="28"/>
          <w:szCs w:val="28"/>
        </w:rPr>
        <w:t>6.</w:t>
      </w:r>
      <w:r w:rsidRPr="00B92CEC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«Централизованная клубная система </w:t>
      </w:r>
      <w:proofErr w:type="spellStart"/>
      <w:r w:rsidRPr="00B92CEC">
        <w:rPr>
          <w:rFonts w:ascii="Times New Roman" w:hAnsi="Times New Roman" w:cs="Times New Roman"/>
          <w:sz w:val="28"/>
          <w:szCs w:val="28"/>
        </w:rPr>
        <w:t>Великопетровского</w:t>
      </w:r>
      <w:proofErr w:type="spellEnd"/>
      <w:r w:rsidRPr="00B92CE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C6488" w:rsidRDefault="004C6488" w:rsidP="00B92C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488" w:rsidRPr="004C6488" w:rsidRDefault="004C6488" w:rsidP="004C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независимую оценку качества оказания услуг, проведённую в 2016году в отношении учреждений культуры  хорошей.</w:t>
      </w:r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</w:t>
      </w:r>
      <w:r w:rsidR="00F02A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илк</w:t>
      </w:r>
      <w:r w:rsidR="00F02A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совета:                                      Кадочникова Т.В.</w:t>
      </w:r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УТВЕРЖДЕНЫ: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Протоколом заседания Общественного 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 от 14.12.2016года.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услуг. Проведённой в отношении му6ниципальных учреждений культуры Карталинского района в 2016году.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4C85">
        <w:rPr>
          <w:rFonts w:ascii="Times New Roman" w:hAnsi="Times New Roman" w:cs="Times New Roman"/>
          <w:sz w:val="28"/>
          <w:szCs w:val="28"/>
        </w:rPr>
        <w:t>В рамках выполнения Указа Президента Российской Федерации от 07.05.2012 № 597 «О мероприятиях по реализации государственной социальной политики», Федерального закона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образования», приказа Министерства культуры Российской Федерации от 05.10.2015 № 2515 «Об утверждении показателей, характеризующих</w:t>
      </w:r>
      <w:proofErr w:type="gramEnd"/>
      <w:r w:rsidRPr="00854C85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 оказания услуг организациями культуры».</w:t>
      </w:r>
      <w:r w:rsidRPr="00854C85">
        <w:rPr>
          <w:rFonts w:ascii="Times New Roman" w:hAnsi="Times New Roman" w:cs="Times New Roman"/>
          <w:sz w:val="28"/>
          <w:szCs w:val="28"/>
        </w:rPr>
        <w:tab/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В 2016 году была проведена независимая оценка качества в 6 учреждениях культуры:</w:t>
      </w:r>
    </w:p>
    <w:tbl>
      <w:tblPr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94"/>
      </w:tblGrid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МУ «Историко-краеведческий музей» Карталинского муниципального района</w:t>
            </w:r>
          </w:p>
        </w:tc>
      </w:tr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библиотечная система» Карталинского муниципального района</w:t>
            </w:r>
          </w:p>
        </w:tc>
      </w:tr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«Централизованная клубная система» </w:t>
            </w:r>
            <w:proofErr w:type="spellStart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proofErr w:type="spellEnd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клубная система» Южно-Степного сельского поселения</w:t>
            </w:r>
          </w:p>
        </w:tc>
      </w:tr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«Россия»</w:t>
            </w:r>
          </w:p>
        </w:tc>
      </w:tr>
      <w:tr w:rsidR="00854C85" w:rsidRPr="00854C85" w:rsidTr="00A7475E">
        <w:tc>
          <w:tcPr>
            <w:tcW w:w="959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4" w:type="dxa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«Централизованная клубная система» </w:t>
            </w:r>
            <w:proofErr w:type="spellStart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Предмет исследования: качество работы муниципальных учреждений, подведомственных Управлению по делам культуры и спорта Карталинского муниципального района Челябинской области</w:t>
      </w:r>
      <w:r w:rsidRPr="00854C8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54C85">
        <w:rPr>
          <w:rFonts w:ascii="Times New Roman" w:hAnsi="Times New Roman" w:cs="Times New Roman"/>
          <w:sz w:val="28"/>
          <w:szCs w:val="28"/>
        </w:rPr>
        <w:t>.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>Показатели оценки качества оказания услуг организациями культуры:</w:t>
      </w:r>
    </w:p>
    <w:p w:rsidR="00854C85" w:rsidRPr="00854C85" w:rsidRDefault="00854C85" w:rsidP="00854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lastRenderedPageBreak/>
        <w:t>Открытость и доступность информации об организации культуры;</w:t>
      </w:r>
    </w:p>
    <w:p w:rsidR="00854C85" w:rsidRPr="00854C85" w:rsidRDefault="00854C85" w:rsidP="00854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 и доступность их получения;</w:t>
      </w:r>
    </w:p>
    <w:p w:rsidR="00854C85" w:rsidRPr="00854C85" w:rsidRDefault="00854C85" w:rsidP="00854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Время ожидания предоставления услуги;</w:t>
      </w:r>
    </w:p>
    <w:p w:rsidR="00854C85" w:rsidRPr="00854C85" w:rsidRDefault="00854C85" w:rsidP="00854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 организации культуры;</w:t>
      </w:r>
    </w:p>
    <w:p w:rsidR="00854C85" w:rsidRPr="00854C85" w:rsidRDefault="00854C85" w:rsidP="00854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услуг.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Методы сбора информации:</w:t>
      </w:r>
    </w:p>
    <w:p w:rsidR="00854C85" w:rsidRPr="00854C85" w:rsidRDefault="00854C85" w:rsidP="00854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54C85">
        <w:rPr>
          <w:rFonts w:ascii="Times New Roman" w:hAnsi="Times New Roman" w:cs="Times New Roman"/>
          <w:sz w:val="28"/>
          <w:szCs w:val="28"/>
          <w:u w:val="single"/>
        </w:rPr>
        <w:t>Анкетный опрос получателей услуг  - 660 человек.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организациями культуры измеряется в баллах. Минимальное значение - 0 баллов, максимальное значение - 97 баллов.</w:t>
      </w:r>
    </w:p>
    <w:p w:rsidR="00854C85" w:rsidRPr="00854C85" w:rsidRDefault="00854C85" w:rsidP="00854C8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4C85">
        <w:rPr>
          <w:rFonts w:ascii="Times New Roman" w:hAnsi="Times New Roman" w:cs="Times New Roman"/>
          <w:b/>
          <w:bCs/>
          <w:sz w:val="28"/>
          <w:szCs w:val="28"/>
        </w:rPr>
        <w:t>Итоговый рейтинг учреждений культуры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54C85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854C85">
        <w:rPr>
          <w:rFonts w:ascii="Times New Roman" w:hAnsi="Times New Roman" w:cs="Times New Roman"/>
          <w:sz w:val="28"/>
          <w:szCs w:val="28"/>
        </w:rPr>
        <w:t xml:space="preserve"> организациями культуры показали, что для всех учреждений культуры можно объективно провести анализ, у всех учреждений присутствуют официальные сайты, во всех учреждениях были проведены опросы посетителей. 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>Таблица 1. Общий итоговый рейтинг учреждений культуры/МУЗЕИ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660"/>
        <w:gridCol w:w="2163"/>
      </w:tblGrid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в ранге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Общая итоговая оценка 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«Историко-краеведческий музей» Карталинского муниципального района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64,41</w:t>
            </w:r>
          </w:p>
        </w:tc>
      </w:tr>
    </w:tbl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>Таблица 2. Общий итоговый рейтинг учреждений культуры/БИБЛИОТЕКИ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642"/>
        <w:gridCol w:w="2156"/>
      </w:tblGrid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в ранге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Общая итоговая оценка </w:t>
            </w:r>
          </w:p>
        </w:tc>
      </w:tr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«Централизованная библиотечная система» Карталинского муниципального района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67,71</w:t>
            </w:r>
          </w:p>
        </w:tc>
      </w:tr>
    </w:tbl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>Таблица 2. Общий итоговый рейтинг учреждений культуры/КДУ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642"/>
        <w:gridCol w:w="2156"/>
      </w:tblGrid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в ранге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Общая итоговая оценка </w:t>
            </w:r>
          </w:p>
        </w:tc>
      </w:tr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«Централизованная клубная система» </w:t>
            </w:r>
            <w:proofErr w:type="spellStart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Еленинского</w:t>
            </w:r>
            <w:proofErr w:type="spellEnd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77,16</w:t>
            </w:r>
          </w:p>
        </w:tc>
      </w:tr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</w:t>
            </w:r>
            <w:proofErr w:type="spellStart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</w:t>
            </w: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«Россия»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76,11</w:t>
            </w:r>
          </w:p>
        </w:tc>
      </w:tr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МУ «Централизованная клубная система» Южно-Степного сельского поселения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72,41</w:t>
            </w:r>
          </w:p>
        </w:tc>
      </w:tr>
      <w:tr w:rsidR="00854C85" w:rsidRPr="00854C85" w:rsidTr="00A7475E">
        <w:trPr>
          <w:trHeight w:val="464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«Централизованная клубная система» </w:t>
            </w:r>
            <w:proofErr w:type="spellStart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>Великопетровского</w:t>
            </w:r>
            <w:proofErr w:type="spellEnd"/>
            <w:r w:rsidRPr="00854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69,1</w:t>
            </w:r>
          </w:p>
        </w:tc>
      </w:tr>
    </w:tbl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качества оказания услуг организациями культуры лишь в одном учреждении культуры зафиксирован высокий показатель оценк</w:t>
      </w:r>
      <w:proofErr w:type="gramStart"/>
      <w:r w:rsidRPr="00854C8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54C85">
        <w:rPr>
          <w:rFonts w:ascii="Times New Roman" w:hAnsi="Times New Roman" w:cs="Times New Roman"/>
          <w:sz w:val="28"/>
          <w:szCs w:val="28"/>
        </w:rPr>
        <w:t xml:space="preserve"> МУ «Централизованная клубная система </w:t>
      </w:r>
      <w:proofErr w:type="spellStart"/>
      <w:r w:rsidRPr="00854C85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 w:rsidRPr="00854C85">
        <w:rPr>
          <w:rFonts w:ascii="Times New Roman" w:hAnsi="Times New Roman" w:cs="Times New Roman"/>
          <w:sz w:val="28"/>
          <w:szCs w:val="28"/>
        </w:rPr>
        <w:t xml:space="preserve"> сельского поселения». Как правило, анализируемые учреждения культуры получают средние оценки показателей. Самые высокие рейтинговые баллы независимой оценки, помимо уже отмеченного учреждения, получили МУ </w:t>
      </w:r>
      <w:proofErr w:type="spellStart"/>
      <w:r w:rsidRPr="00854C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54C85">
        <w:rPr>
          <w:rFonts w:ascii="Times New Roman" w:hAnsi="Times New Roman" w:cs="Times New Roman"/>
          <w:sz w:val="28"/>
          <w:szCs w:val="28"/>
        </w:rPr>
        <w:t xml:space="preserve"> Дом культуры «Россия» и МУ «Централизованная клубная система» Южно-Степного сельского поселения. Наиболее низким общий рейтинговый балл оказался у МУ «Историко-краеведческий музей» Карталинского муниципального района.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>Таблица 3. Общий рейтинг учреждений культуры в разрезе оценки показателей</w:t>
      </w:r>
      <w:r w:rsidRPr="00854C85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660"/>
        <w:gridCol w:w="2163"/>
      </w:tblGrid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в ранге</w:t>
            </w: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Значение показателя 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«Централизованная клубная система </w:t>
            </w:r>
            <w:proofErr w:type="spellStart"/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>Еленинского</w:t>
            </w:r>
            <w:proofErr w:type="spellEnd"/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Высокий показатель (80-100%)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</w:t>
            </w:r>
            <w:proofErr w:type="spellStart"/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Межпоселенческий</w:t>
            </w:r>
            <w:proofErr w:type="spellEnd"/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культуры «Россия»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показатель (60-79%)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>МУ «Централизованная клубная система» Южно-Степного сельского поселения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показатель (60-79%)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  <w:vAlign w:val="center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«Централизованная клубная система </w:t>
            </w:r>
            <w:proofErr w:type="spellStart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proofErr w:type="spellEnd"/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130" w:type="pct"/>
            <w:vAlign w:val="center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>Средний показатель (60-79%)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>МУ «Централизованная библиотечная система» Карталинского муниципального района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показатель (60-79%)</w:t>
            </w:r>
          </w:p>
        </w:tc>
      </w:tr>
      <w:tr w:rsidR="00854C85" w:rsidRPr="00854C85" w:rsidTr="00A7475E">
        <w:trPr>
          <w:trHeight w:val="405"/>
        </w:trPr>
        <w:tc>
          <w:tcPr>
            <w:tcW w:w="913" w:type="pct"/>
          </w:tcPr>
          <w:p w:rsidR="00854C85" w:rsidRPr="00854C85" w:rsidRDefault="00854C85" w:rsidP="00854C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7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sz w:val="28"/>
                <w:szCs w:val="28"/>
              </w:rPr>
              <w:t>МУ «Историко-краеведческий музей» Карталинского муниципального района</w:t>
            </w:r>
          </w:p>
        </w:tc>
        <w:tc>
          <w:tcPr>
            <w:tcW w:w="1130" w:type="pct"/>
          </w:tcPr>
          <w:p w:rsidR="00854C85" w:rsidRPr="00854C85" w:rsidRDefault="00854C85" w:rsidP="0085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показатель (60-79%)</w:t>
            </w:r>
          </w:p>
        </w:tc>
      </w:tr>
    </w:tbl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. </w:t>
      </w:r>
      <w:r w:rsidRPr="00854C85">
        <w:rPr>
          <w:rFonts w:ascii="Times New Roman" w:hAnsi="Times New Roman" w:cs="Times New Roman"/>
          <w:sz w:val="28"/>
          <w:szCs w:val="28"/>
        </w:rPr>
        <w:tab/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object w:dxaOrig="8132" w:dyaOrig="5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05.75pt;height:267pt;visibility:visible" o:ole="">
            <v:imagedata r:id="rId8" o:title=""/>
            <o:lock v:ext="edit" aspectratio="f"/>
          </v:shape>
          <o:OLEObject Type="Embed" ProgID="Excel.Sheet.8" ShapeID="Диаграмма 1" DrawAspect="Content" ObjectID="_1543318833" r:id="rId9">
            <o:FieldCodes>\s</o:FieldCodes>
          </o:OLEObject>
        </w:objec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C85">
        <w:rPr>
          <w:rFonts w:ascii="Times New Roman" w:hAnsi="Times New Roman" w:cs="Times New Roman"/>
          <w:b/>
          <w:sz w:val="28"/>
          <w:szCs w:val="28"/>
        </w:rPr>
        <w:t>Рис.1. Общие итоговые рейтинги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В целом следует сказать, что наибольшие суммарные баллы оценок показателей на официальных сайтах получают: МУ </w:t>
      </w:r>
      <w:proofErr w:type="spellStart"/>
      <w:r w:rsidRPr="00854C8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54C85">
        <w:rPr>
          <w:rFonts w:ascii="Times New Roman" w:hAnsi="Times New Roman" w:cs="Times New Roman"/>
          <w:sz w:val="28"/>
          <w:szCs w:val="28"/>
        </w:rPr>
        <w:t xml:space="preserve"> Дом культуры «Россия»; МУ «Централизованная библиотечная система» Карталинского муниципального района и МУ «Централизованная клубная система» </w:t>
      </w:r>
      <w:proofErr w:type="spellStart"/>
      <w:r w:rsidRPr="00854C85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 w:rsidRPr="00854C85">
        <w:rPr>
          <w:rFonts w:ascii="Times New Roman" w:hAnsi="Times New Roman" w:cs="Times New Roman"/>
          <w:sz w:val="28"/>
          <w:szCs w:val="28"/>
        </w:rPr>
        <w:t xml:space="preserve"> сельского поселения. Наиболее низкие оценки по результатам анализа сайтов получили МУ «Централизованная клубная система» </w:t>
      </w:r>
      <w:proofErr w:type="spellStart"/>
      <w:r w:rsidRPr="00854C85">
        <w:rPr>
          <w:rFonts w:ascii="Times New Roman" w:hAnsi="Times New Roman" w:cs="Times New Roman"/>
          <w:sz w:val="28"/>
          <w:szCs w:val="28"/>
        </w:rPr>
        <w:t>Великопетровского</w:t>
      </w:r>
      <w:proofErr w:type="spellEnd"/>
      <w:r w:rsidRPr="00854C85">
        <w:rPr>
          <w:rFonts w:ascii="Times New Roman" w:hAnsi="Times New Roman" w:cs="Times New Roman"/>
          <w:sz w:val="28"/>
          <w:szCs w:val="28"/>
        </w:rPr>
        <w:t xml:space="preserve"> сельского поселения и МУ «Историко-краеведческий музей» Карталинского муниципального района. </w:t>
      </w:r>
    </w:p>
    <w:p w:rsidR="00854C85" w:rsidRPr="00854C85" w:rsidRDefault="00854C85" w:rsidP="00854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C85">
        <w:rPr>
          <w:rFonts w:ascii="Times New Roman" w:hAnsi="Times New Roman" w:cs="Times New Roman"/>
          <w:sz w:val="28"/>
          <w:szCs w:val="28"/>
        </w:rPr>
        <w:t xml:space="preserve">  </w:t>
      </w:r>
      <w:r w:rsidRPr="00854C85">
        <w:rPr>
          <w:rFonts w:ascii="Times New Roman" w:hAnsi="Times New Roman" w:cs="Times New Roman"/>
          <w:sz w:val="28"/>
          <w:szCs w:val="28"/>
        </w:rPr>
        <w:object w:dxaOrig="8775" w:dyaOrig="6221">
          <v:shape id="_x0000_i1026" type="#_x0000_t75" style="width:438.75pt;height:311.25pt;visibility:visible" o:ole="">
            <v:imagedata r:id="rId10" o:title=""/>
            <o:lock v:ext="edit" aspectratio="f"/>
          </v:shape>
          <o:OLEObject Type="Embed" ProgID="Excel.Sheet.8" ShapeID="_x0000_i1026" DrawAspect="Content" ObjectID="_1543318834" r:id="rId11">
            <o:FieldCodes>\s</o:FieldCodes>
          </o:OLEObject>
        </w:objec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протоколу заседания  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Общественного совета  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14.12.2016г. 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                                            Предложения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61A4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6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A49">
        <w:rPr>
          <w:rFonts w:ascii="Times New Roman" w:hAnsi="Times New Roman" w:cs="Times New Roman"/>
          <w:sz w:val="28"/>
          <w:szCs w:val="28"/>
        </w:rPr>
        <w:t>улучшению</w:t>
      </w:r>
      <w:proofErr w:type="gramEnd"/>
      <w:r w:rsidRPr="00861A49">
        <w:rPr>
          <w:rFonts w:ascii="Times New Roman" w:hAnsi="Times New Roman" w:cs="Times New Roman"/>
          <w:sz w:val="28"/>
          <w:szCs w:val="28"/>
        </w:rPr>
        <w:t xml:space="preserve"> качества деятельности муниципальных учреждений культуры Карталинского муниципального района по результатам независимой оценки   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             качества оказания услуг, </w:t>
      </w:r>
      <w:proofErr w:type="gramStart"/>
      <w:r w:rsidRPr="00861A49">
        <w:rPr>
          <w:rFonts w:ascii="Times New Roman" w:hAnsi="Times New Roman" w:cs="Times New Roman"/>
          <w:sz w:val="28"/>
          <w:szCs w:val="28"/>
        </w:rPr>
        <w:t>проведённой</w:t>
      </w:r>
      <w:proofErr w:type="gramEnd"/>
      <w:r w:rsidRPr="00861A49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1.Муниципальное  учреждение «Централизованная библиотечная система» Карталинского  муниципального района;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2.Муниципальное учреждение Историко-краеведческий музей» Карталинского    муниципального района;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3.Муниципальное учреждение </w:t>
      </w:r>
      <w:proofErr w:type="spellStart"/>
      <w:r w:rsidRPr="00861A4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861A49">
        <w:rPr>
          <w:rFonts w:ascii="Times New Roman" w:hAnsi="Times New Roman" w:cs="Times New Roman"/>
          <w:sz w:val="28"/>
          <w:szCs w:val="28"/>
        </w:rPr>
        <w:t xml:space="preserve"> Дом культуры «Россия»;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4.Муниципальное учреждение централизованная клубная система </w:t>
      </w:r>
      <w:proofErr w:type="spellStart"/>
      <w:r w:rsidRPr="00861A49">
        <w:rPr>
          <w:rFonts w:ascii="Times New Roman" w:hAnsi="Times New Roman" w:cs="Times New Roman"/>
          <w:sz w:val="28"/>
          <w:szCs w:val="28"/>
        </w:rPr>
        <w:t>Еленинского</w:t>
      </w:r>
      <w:proofErr w:type="spellEnd"/>
      <w:r w:rsidRPr="00861A4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5.Муниципальное учреждение «Централизованная клубная система </w:t>
      </w:r>
      <w:proofErr w:type="spellStart"/>
      <w:r w:rsidRPr="00861A49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861A49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 xml:space="preserve">6.Муниципальное учреждение «Централизованная клубная система </w:t>
      </w:r>
      <w:proofErr w:type="spellStart"/>
      <w:r w:rsidRPr="00861A49">
        <w:rPr>
          <w:rFonts w:ascii="Times New Roman" w:hAnsi="Times New Roman" w:cs="Times New Roman"/>
          <w:sz w:val="28"/>
          <w:szCs w:val="28"/>
        </w:rPr>
        <w:t>Великопетровского</w:t>
      </w:r>
      <w:proofErr w:type="spellEnd"/>
      <w:r w:rsidRPr="00861A4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1.</w:t>
      </w:r>
      <w:r w:rsidRPr="00861A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1A49">
        <w:rPr>
          <w:rFonts w:ascii="Times New Roman" w:hAnsi="Times New Roman" w:cs="Times New Roman"/>
          <w:sz w:val="28"/>
          <w:szCs w:val="28"/>
        </w:rPr>
        <w:t>Усилить работу по повышению качества оказания услуг пользователями муниципальных учреждений культуры   (повышение комфортности и доступности  получения услуг.</w:t>
      </w:r>
      <w:proofErr w:type="gramEnd"/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2.</w:t>
      </w:r>
      <w:r w:rsidRPr="00861A49">
        <w:rPr>
          <w:rFonts w:ascii="Times New Roman" w:hAnsi="Times New Roman" w:cs="Times New Roman"/>
          <w:sz w:val="28"/>
          <w:szCs w:val="28"/>
        </w:rPr>
        <w:tab/>
        <w:t>Расширить электронные, сервисные возможности библиотеки в соответствии с запросами пользователей.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3.</w:t>
      </w:r>
      <w:r w:rsidRPr="00861A49">
        <w:rPr>
          <w:rFonts w:ascii="Times New Roman" w:hAnsi="Times New Roman" w:cs="Times New Roman"/>
          <w:sz w:val="28"/>
          <w:szCs w:val="28"/>
        </w:rPr>
        <w:tab/>
        <w:t>Продолжить работу по созданию условий для проведения культурно-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просветительских и досуговых проектов.</w:t>
      </w: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49" w:rsidRPr="00861A49" w:rsidRDefault="00861A49" w:rsidP="00861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A49">
        <w:rPr>
          <w:rFonts w:ascii="Times New Roman" w:hAnsi="Times New Roman" w:cs="Times New Roman"/>
          <w:sz w:val="28"/>
          <w:szCs w:val="28"/>
        </w:rPr>
        <w:t>4.</w:t>
      </w:r>
      <w:r w:rsidRPr="00861A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1A49">
        <w:rPr>
          <w:rFonts w:ascii="Times New Roman" w:hAnsi="Times New Roman" w:cs="Times New Roman"/>
          <w:sz w:val="28"/>
          <w:szCs w:val="28"/>
        </w:rPr>
        <w:t>Доработать сайты учреждений культуры (внести  на сайты учреждений раздел  « Независимая оценка качества», « Учредительные документы», схему проезда и информацию о перечне оказываемых услуг.</w:t>
      </w:r>
      <w:proofErr w:type="gramEnd"/>
    </w:p>
    <w:p w:rsidR="004C6488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488" w:rsidRPr="003E2094" w:rsidRDefault="004C6488" w:rsidP="004C6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1A4" w:rsidRPr="003E2094" w:rsidRDefault="001931A4" w:rsidP="003E20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31A4" w:rsidRPr="003E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DD" w:rsidRDefault="00C750DD" w:rsidP="00854C85">
      <w:pPr>
        <w:spacing w:after="0" w:line="240" w:lineRule="auto"/>
      </w:pPr>
      <w:r>
        <w:separator/>
      </w:r>
    </w:p>
  </w:endnote>
  <w:endnote w:type="continuationSeparator" w:id="0">
    <w:p w:rsidR="00C750DD" w:rsidRDefault="00C750DD" w:rsidP="0085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DD" w:rsidRDefault="00C750DD" w:rsidP="00854C85">
      <w:pPr>
        <w:spacing w:after="0" w:line="240" w:lineRule="auto"/>
      </w:pPr>
      <w:r>
        <w:separator/>
      </w:r>
    </w:p>
  </w:footnote>
  <w:footnote w:type="continuationSeparator" w:id="0">
    <w:p w:rsidR="00C750DD" w:rsidRDefault="00C750DD" w:rsidP="00854C85">
      <w:pPr>
        <w:spacing w:after="0" w:line="240" w:lineRule="auto"/>
      </w:pPr>
      <w:r>
        <w:continuationSeparator/>
      </w:r>
    </w:p>
  </w:footnote>
  <w:footnote w:id="1">
    <w:p w:rsidR="00854C85" w:rsidRDefault="00854C85" w:rsidP="00854C85">
      <w:pPr>
        <w:pStyle w:val="a4"/>
      </w:pPr>
      <w:r>
        <w:rPr>
          <w:rStyle w:val="a6"/>
        </w:rPr>
        <w:footnoteRef/>
      </w:r>
      <w:r>
        <w:t xml:space="preserve"> Общая методика расчета показателей применяется в соответствии с </w:t>
      </w:r>
      <w:r w:rsidRPr="00255434">
        <w:t>Приказ</w:t>
      </w:r>
      <w:r>
        <w:t>ом</w:t>
      </w:r>
      <w:r w:rsidRPr="00255434">
        <w:t xml:space="preserve"> Министерства культуры </w:t>
      </w:r>
      <w:r>
        <w:t>РФ от 20 ноября 2015 г. № 2830 «</w:t>
      </w:r>
      <w:r w:rsidRPr="00255434">
        <w:t>Об утверждении методических рекомендаций по проведению независимой оценки качества оказан</w:t>
      </w:r>
      <w:r>
        <w:t>ия услуг организациями культуры»</w:t>
      </w:r>
    </w:p>
  </w:footnote>
  <w:footnote w:id="2">
    <w:p w:rsidR="00854C85" w:rsidRDefault="00854C85" w:rsidP="00854C85">
      <w:pPr>
        <w:pStyle w:val="a4"/>
      </w:pPr>
    </w:p>
    <w:p w:rsidR="00854C85" w:rsidRDefault="00854C85" w:rsidP="00854C8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07"/>
    <w:multiLevelType w:val="hybridMultilevel"/>
    <w:tmpl w:val="E384E9D2"/>
    <w:lvl w:ilvl="0" w:tplc="D57EE8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568FF"/>
    <w:multiLevelType w:val="hybridMultilevel"/>
    <w:tmpl w:val="237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7229"/>
    <w:multiLevelType w:val="hybridMultilevel"/>
    <w:tmpl w:val="EB08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11F68"/>
    <w:multiLevelType w:val="hybridMultilevel"/>
    <w:tmpl w:val="0472CD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6226A"/>
    <w:multiLevelType w:val="hybridMultilevel"/>
    <w:tmpl w:val="EB08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A450B1"/>
    <w:multiLevelType w:val="hybridMultilevel"/>
    <w:tmpl w:val="58A2BA5E"/>
    <w:lvl w:ilvl="0" w:tplc="28F83B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E26BF"/>
    <w:multiLevelType w:val="hybridMultilevel"/>
    <w:tmpl w:val="88E655FA"/>
    <w:lvl w:ilvl="0" w:tplc="6130EC9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F6242F4"/>
    <w:multiLevelType w:val="hybridMultilevel"/>
    <w:tmpl w:val="FAFAFE1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03"/>
    <w:rsid w:val="001931A4"/>
    <w:rsid w:val="003E2094"/>
    <w:rsid w:val="004C6488"/>
    <w:rsid w:val="005C1EF9"/>
    <w:rsid w:val="006E3F03"/>
    <w:rsid w:val="00854C85"/>
    <w:rsid w:val="00861A49"/>
    <w:rsid w:val="00B92CEC"/>
    <w:rsid w:val="00C750DD"/>
    <w:rsid w:val="00F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09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54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4C85"/>
    <w:rPr>
      <w:sz w:val="20"/>
      <w:szCs w:val="20"/>
    </w:rPr>
  </w:style>
  <w:style w:type="character" w:styleId="a6">
    <w:name w:val="footnote reference"/>
    <w:basedOn w:val="a0"/>
    <w:uiPriority w:val="99"/>
    <w:rsid w:val="00854C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09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54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4C85"/>
    <w:rPr>
      <w:sz w:val="20"/>
      <w:szCs w:val="20"/>
    </w:rPr>
  </w:style>
  <w:style w:type="character" w:styleId="a6">
    <w:name w:val="footnote reference"/>
    <w:basedOn w:val="a0"/>
    <w:uiPriority w:val="99"/>
    <w:rsid w:val="00854C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2.xls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5</cp:revision>
  <cp:lastPrinted>2016-12-15T09:53:00Z</cp:lastPrinted>
  <dcterms:created xsi:type="dcterms:W3CDTF">2016-12-15T08:46:00Z</dcterms:created>
  <dcterms:modified xsi:type="dcterms:W3CDTF">2016-12-15T09:53:00Z</dcterms:modified>
</cp:coreProperties>
</file>