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4F" w:rsidRPr="00C7524F" w:rsidRDefault="00C7524F" w:rsidP="00C7524F">
      <w:pPr>
        <w:autoSpaceDN w:val="0"/>
        <w:jc w:val="center"/>
        <w:rPr>
          <w:szCs w:val="22"/>
        </w:rPr>
      </w:pPr>
      <w:r w:rsidRPr="00C7524F">
        <w:rPr>
          <w:szCs w:val="22"/>
        </w:rPr>
        <w:t>ПОСТАНОВЛЕНИЕ</w:t>
      </w:r>
    </w:p>
    <w:p w:rsidR="00C7524F" w:rsidRPr="00C7524F" w:rsidRDefault="00C7524F" w:rsidP="00C7524F">
      <w:pPr>
        <w:autoSpaceDN w:val="0"/>
        <w:jc w:val="center"/>
        <w:rPr>
          <w:szCs w:val="22"/>
        </w:rPr>
      </w:pPr>
      <w:r w:rsidRPr="00C7524F">
        <w:rPr>
          <w:szCs w:val="22"/>
        </w:rPr>
        <w:t>АДМИНИСТРАЦИИ КАРТАЛИНСКОГО МУНИЦИПАЛЬНОГО РАЙОНА</w:t>
      </w:r>
    </w:p>
    <w:p w:rsidR="00C7524F" w:rsidRPr="00C7524F" w:rsidRDefault="00C7524F" w:rsidP="00C7524F">
      <w:pPr>
        <w:suppressAutoHyphens/>
        <w:jc w:val="both"/>
        <w:rPr>
          <w:szCs w:val="22"/>
        </w:rPr>
      </w:pPr>
    </w:p>
    <w:p w:rsidR="00C7524F" w:rsidRPr="00C7524F" w:rsidRDefault="00C7524F" w:rsidP="00C7524F">
      <w:pPr>
        <w:suppressAutoHyphens/>
        <w:jc w:val="both"/>
        <w:rPr>
          <w:szCs w:val="22"/>
        </w:rPr>
      </w:pPr>
    </w:p>
    <w:p w:rsidR="00C7524F" w:rsidRPr="00C7524F" w:rsidRDefault="00C7524F" w:rsidP="00C7524F">
      <w:pPr>
        <w:suppressAutoHyphens/>
        <w:jc w:val="both"/>
        <w:rPr>
          <w:szCs w:val="22"/>
        </w:rPr>
      </w:pPr>
    </w:p>
    <w:p w:rsidR="00C7524F" w:rsidRPr="00C7524F" w:rsidRDefault="00C7524F" w:rsidP="00C7524F">
      <w:pPr>
        <w:suppressAutoHyphens/>
        <w:jc w:val="both"/>
        <w:rPr>
          <w:szCs w:val="22"/>
        </w:rPr>
      </w:pPr>
    </w:p>
    <w:p w:rsidR="00C7524F" w:rsidRPr="00C7524F" w:rsidRDefault="00C7524F" w:rsidP="00C7524F">
      <w:pPr>
        <w:suppressAutoHyphens/>
        <w:jc w:val="both"/>
        <w:rPr>
          <w:szCs w:val="22"/>
        </w:rPr>
      </w:pPr>
    </w:p>
    <w:p w:rsidR="00C7524F" w:rsidRPr="00C7524F" w:rsidRDefault="00C7524F" w:rsidP="00C7524F">
      <w:pPr>
        <w:suppressAutoHyphens/>
        <w:jc w:val="both"/>
        <w:rPr>
          <w:szCs w:val="22"/>
        </w:rPr>
      </w:pPr>
    </w:p>
    <w:p w:rsidR="00C7524F" w:rsidRPr="00C7524F" w:rsidRDefault="00C7524F" w:rsidP="00C7524F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06</w:t>
      </w:r>
      <w:r w:rsidRPr="00C7524F">
        <w:rPr>
          <w:color w:val="000000"/>
          <w:lang w:eastAsia="ru-RU"/>
        </w:rPr>
        <w:t>.0</w:t>
      </w:r>
      <w:r>
        <w:rPr>
          <w:color w:val="000000"/>
          <w:lang w:eastAsia="ru-RU"/>
        </w:rPr>
        <w:t>9</w:t>
      </w:r>
      <w:r w:rsidRPr="00C7524F">
        <w:rPr>
          <w:color w:val="000000"/>
          <w:lang w:eastAsia="ru-RU"/>
        </w:rPr>
        <w:t xml:space="preserve">.2016 года № </w:t>
      </w:r>
      <w:r>
        <w:rPr>
          <w:color w:val="000000"/>
          <w:lang w:eastAsia="ru-RU"/>
        </w:rPr>
        <w:t>533</w:t>
      </w:r>
    </w:p>
    <w:p w:rsidR="00CF6FE4" w:rsidRDefault="00CF6FE4" w:rsidP="00DD50C4">
      <w:pPr>
        <w:jc w:val="both"/>
      </w:pPr>
    </w:p>
    <w:p w:rsidR="00CF6FE4" w:rsidRDefault="00CF6FE4" w:rsidP="00DD50C4">
      <w:pPr>
        <w:jc w:val="both"/>
      </w:pPr>
    </w:p>
    <w:p w:rsidR="00CF6FE4" w:rsidRDefault="00CF6FE4" w:rsidP="00DD50C4">
      <w:pPr>
        <w:jc w:val="both"/>
      </w:pPr>
    </w:p>
    <w:p w:rsidR="00CF6FE4" w:rsidRDefault="00CF6FE4" w:rsidP="00DD50C4">
      <w:pPr>
        <w:jc w:val="both"/>
      </w:pPr>
    </w:p>
    <w:p w:rsidR="00CF6FE4" w:rsidRDefault="00CF6FE4" w:rsidP="00DD50C4">
      <w:pPr>
        <w:jc w:val="both"/>
      </w:pPr>
    </w:p>
    <w:p w:rsidR="00CF6FE4" w:rsidRDefault="00CF6FE4" w:rsidP="00DD50C4">
      <w:pPr>
        <w:jc w:val="both"/>
      </w:pPr>
    </w:p>
    <w:p w:rsidR="00CF6FE4" w:rsidRDefault="00CF6FE4" w:rsidP="00DD50C4">
      <w:pPr>
        <w:jc w:val="both"/>
      </w:pPr>
    </w:p>
    <w:p w:rsidR="00A71549" w:rsidRPr="00DD50C4" w:rsidRDefault="006562D3" w:rsidP="00DD50C4">
      <w:pPr>
        <w:jc w:val="both"/>
      </w:pPr>
      <w:r w:rsidRPr="00DD50C4">
        <w:t>О</w:t>
      </w:r>
      <w:r w:rsidR="00A71549" w:rsidRPr="00DD50C4">
        <w:t xml:space="preserve"> внесении изменени</w:t>
      </w:r>
      <w:r w:rsidR="00DD50C4">
        <w:t>й</w:t>
      </w:r>
    </w:p>
    <w:p w:rsidR="00A71549" w:rsidRPr="00DD50C4" w:rsidRDefault="00A71549" w:rsidP="00DD50C4">
      <w:pPr>
        <w:jc w:val="both"/>
      </w:pPr>
      <w:r w:rsidRPr="00DD50C4">
        <w:t xml:space="preserve">в постановление администрации </w:t>
      </w:r>
    </w:p>
    <w:p w:rsidR="00A71549" w:rsidRPr="00DD50C4" w:rsidRDefault="00A71549" w:rsidP="00DD50C4">
      <w:pPr>
        <w:jc w:val="both"/>
      </w:pPr>
      <w:r w:rsidRPr="00DD50C4">
        <w:t xml:space="preserve">Карталинского муниципального </w:t>
      </w:r>
    </w:p>
    <w:p w:rsidR="00A71549" w:rsidRPr="00DD50C4" w:rsidRDefault="00A71549" w:rsidP="00DD50C4">
      <w:pPr>
        <w:jc w:val="both"/>
      </w:pPr>
      <w:r w:rsidRPr="00DD50C4">
        <w:t>района от 22.12.2014 года №</w:t>
      </w:r>
      <w:r w:rsidR="00DD50C4">
        <w:t xml:space="preserve"> </w:t>
      </w:r>
      <w:r w:rsidRPr="00DD50C4">
        <w:t>1712</w:t>
      </w:r>
    </w:p>
    <w:p w:rsidR="00DD50C4" w:rsidRDefault="00DD50C4" w:rsidP="00DD50C4">
      <w:pPr>
        <w:jc w:val="both"/>
      </w:pPr>
    </w:p>
    <w:p w:rsidR="00CF6FE4" w:rsidRDefault="00CF6FE4" w:rsidP="00DD50C4">
      <w:pPr>
        <w:jc w:val="both"/>
      </w:pPr>
    </w:p>
    <w:p w:rsidR="00CF6FE4" w:rsidRDefault="00CF6FE4" w:rsidP="00CF6FE4">
      <w:pPr>
        <w:jc w:val="both"/>
      </w:pPr>
      <w:r>
        <w:t xml:space="preserve">Администрация Карталинского муниципального района ПОСТАНОВЛЯЕТ: </w:t>
      </w:r>
    </w:p>
    <w:p w:rsidR="00CF6FE4" w:rsidRDefault="00CF6FE4" w:rsidP="00CF6FE4">
      <w:pPr>
        <w:ind w:firstLine="709"/>
        <w:jc w:val="both"/>
      </w:pPr>
      <w:r>
        <w:t xml:space="preserve">1. Внести в постановление администрации Карталинского муниципального района от 22.12.2014 года № 1712 «Об утверждении Положения об оплате труда работников учреждений, подведомственных Управлению по делам культуры, спорта и молодежной политики» </w:t>
      </w:r>
      <w:r w:rsidR="009C4714">
        <w:t xml:space="preserve">                               </w:t>
      </w:r>
      <w:r>
        <w:t>(с изменениями от 20.03.2015 года № 297, от 04.06.2015 года № 539,                        от 16.06.2015 года № 594, от 24.07.2015 года № 665, от 02.09.2015 года               № 774, от 03.11.2015 года № 896) следующие изменения:</w:t>
      </w:r>
    </w:p>
    <w:p w:rsidR="00CF6FE4" w:rsidRDefault="00CF6FE4" w:rsidP="00CF6FE4">
      <w:pPr>
        <w:ind w:firstLine="709"/>
        <w:jc w:val="both"/>
      </w:pPr>
      <w:r>
        <w:t>1) в названии постановления</w:t>
      </w:r>
      <w:r w:rsidR="009C4714">
        <w:t xml:space="preserve"> и по всему тексту указанного постановления</w:t>
      </w:r>
      <w:r>
        <w:t xml:space="preserve"> вместо слов «подведомственных Управлению по делам культуры, спорта и молодежной политики» читать слова «подведомственных Управлению по делам культуры и спорта Карталинского муниципального района»;</w:t>
      </w:r>
    </w:p>
    <w:p w:rsidR="00CF6FE4" w:rsidRDefault="00CF6FE4" w:rsidP="00CF6FE4">
      <w:pPr>
        <w:ind w:firstLine="709"/>
        <w:jc w:val="both"/>
      </w:pPr>
      <w:r>
        <w:t xml:space="preserve">2) в преамбуле указанного постановления вместо слов «О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единой тарифной сетки» читать слова «О введении новых систем оплаты труда работников </w:t>
      </w:r>
      <w:r w:rsidR="00B14DC3">
        <w:t>муниципальных</w:t>
      </w:r>
      <w:r>
        <w:t xml:space="preserve">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учреждений».</w:t>
      </w:r>
    </w:p>
    <w:p w:rsidR="00CF6FE4" w:rsidRDefault="00CF6FE4" w:rsidP="00CF6FE4">
      <w:pPr>
        <w:ind w:firstLine="709"/>
        <w:jc w:val="both"/>
      </w:pPr>
      <w:r>
        <w:lastRenderedPageBreak/>
        <w:t>2. Внести в Положение об оплате труда работников учреждений, подведомственных Управлению по делам культуры, спорта и молодежной политики, утвержденное постановлением администрации Карталинского муниципального района от 22.12.2014 года №</w:t>
      </w:r>
      <w:r w:rsidR="009C2F2D">
        <w:t xml:space="preserve"> </w:t>
      </w:r>
      <w:r>
        <w:t>1712 «Об утверждении Положения об оплате труда работников учреждений, подведомственных Управлению по делам культуры, спорта и молодежной политики»,</w:t>
      </w:r>
      <w:r w:rsidRPr="00CF6FE4">
        <w:t xml:space="preserve"> </w:t>
      </w:r>
      <w:r>
        <w:t>(далее именуется – Положение) следующие изменения:</w:t>
      </w:r>
    </w:p>
    <w:p w:rsidR="00CF6FE4" w:rsidRDefault="00CF6FE4" w:rsidP="00CF6FE4">
      <w:pPr>
        <w:ind w:firstLine="709"/>
        <w:jc w:val="both"/>
      </w:pPr>
      <w:r>
        <w:t>1) подпункт 8 пункта 4 главы I</w:t>
      </w:r>
      <w:r w:rsidR="006F1779">
        <w:t xml:space="preserve"> после слов «социально-трудовых отношений»</w:t>
      </w:r>
      <w:r>
        <w:t xml:space="preserve"> дополнить словами «на текущий год»;</w:t>
      </w:r>
    </w:p>
    <w:p w:rsidR="00CF6FE4" w:rsidRDefault="00CF6FE4" w:rsidP="00CF6FE4">
      <w:pPr>
        <w:ind w:firstLine="709"/>
        <w:jc w:val="both"/>
      </w:pPr>
      <w:r>
        <w:t>2) главу II дополнить пунктом 7.1. следующего содержания:</w:t>
      </w:r>
    </w:p>
    <w:p w:rsidR="00CF6FE4" w:rsidRDefault="00CF6FE4" w:rsidP="00CF6FE4">
      <w:pPr>
        <w:ind w:firstLine="709"/>
        <w:jc w:val="both"/>
      </w:pPr>
      <w:r>
        <w:t>«7.1. Работникам муниципальных учреждений положениями об оплате труда могут предусматриваться персональные повышающие коэффициенты к окладу (должностному окладу), ставке заработной платы (далее именуется – персональный повышающий коэффициент). Персональный повышающий коэффициент устанавливается на основании локального нормативного акта муниципального 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в муниципальном учреждении,</w:t>
      </w:r>
      <w:r w:rsidR="008C5639">
        <w:t xml:space="preserve"> </w:t>
      </w:r>
      <w:r>
        <w:t>ответственности при выполнении поставленных задач и других факторов, а также с учетом обеспечения указанной выплаты финансовыми средствами.</w:t>
      </w:r>
    </w:p>
    <w:p w:rsidR="00CF6FE4" w:rsidRDefault="00CF6FE4" w:rsidP="00CF6FE4">
      <w:pPr>
        <w:ind w:firstLine="709"/>
        <w:jc w:val="both"/>
      </w:pPr>
      <w:r>
        <w:t>Рекомендуемый размер персонального повышающего коэффициента – до 3.</w:t>
      </w:r>
    </w:p>
    <w:p w:rsidR="00CF6FE4" w:rsidRDefault="00CF6FE4" w:rsidP="00CF6FE4">
      <w:pPr>
        <w:ind w:firstLine="709"/>
        <w:jc w:val="both"/>
      </w:pPr>
      <w:r>
        <w:t>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работнику.»;</w:t>
      </w:r>
    </w:p>
    <w:p w:rsidR="00CF6FE4" w:rsidRDefault="00CF6FE4" w:rsidP="00CF6FE4">
      <w:pPr>
        <w:ind w:firstLine="709"/>
        <w:jc w:val="both"/>
      </w:pPr>
      <w:r>
        <w:t>3)</w:t>
      </w:r>
      <w:r w:rsidR="008C5639">
        <w:t xml:space="preserve"> </w:t>
      </w:r>
      <w:r>
        <w:t>в главе V:</w:t>
      </w:r>
    </w:p>
    <w:p w:rsidR="00CF6FE4" w:rsidRDefault="00CF6FE4" w:rsidP="00CF6FE4">
      <w:pPr>
        <w:ind w:firstLine="709"/>
        <w:jc w:val="both"/>
      </w:pPr>
      <w:r>
        <w:t>пункт 52 дополнить абзацем следующего содержания:</w:t>
      </w:r>
    </w:p>
    <w:p w:rsidR="00CF6FE4" w:rsidRDefault="00CF6FE4" w:rsidP="00CF6FE4">
      <w:pPr>
        <w:ind w:firstLine="709"/>
        <w:jc w:val="both"/>
      </w:pPr>
      <w:r>
        <w:t xml:space="preserve"> «Руководители</w:t>
      </w:r>
      <w:r w:rsidR="008C5639">
        <w:t xml:space="preserve"> </w:t>
      </w:r>
      <w:r>
        <w:t>муниципальных учреждений устанавливают предельное соотношение средней заработной платы заместителей руководителей этих учреждений, главных бухгалтеров и средней заработной платы работников учреждений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в кратности от 1 до 3.»;</w:t>
      </w:r>
    </w:p>
    <w:p w:rsidR="00CF6FE4" w:rsidRDefault="00CF6FE4" w:rsidP="00CF6FE4">
      <w:pPr>
        <w:ind w:firstLine="709"/>
        <w:jc w:val="both"/>
      </w:pPr>
      <w:r>
        <w:t>пункт 55 дополнить абзацем следующего содержания:</w:t>
      </w:r>
    </w:p>
    <w:p w:rsidR="00CF6FE4" w:rsidRDefault="00CF6FE4" w:rsidP="00CF6FE4">
      <w:pPr>
        <w:ind w:firstLine="709"/>
        <w:jc w:val="both"/>
      </w:pPr>
      <w:r>
        <w:t xml:space="preserve"> «Руководителям муниципальных, бюджетных и казенных учреждений размер выплат стимулирующего характера устанавливается с учетом </w:t>
      </w:r>
      <w:r>
        <w:lastRenderedPageBreak/>
        <w:t>показателя роста заработной платы работников учреждения за счет средств, полученных от приносящей доход деятельности учреждения.»;</w:t>
      </w:r>
    </w:p>
    <w:p w:rsidR="00CF6FE4" w:rsidRDefault="00CF6FE4" w:rsidP="00CF6FE4">
      <w:pPr>
        <w:ind w:firstLine="709"/>
        <w:jc w:val="both"/>
      </w:pPr>
      <w:r>
        <w:t>пункт 58 признать утратившим силу;</w:t>
      </w:r>
    </w:p>
    <w:p w:rsidR="00CF6FE4" w:rsidRDefault="00CF6FE4" w:rsidP="00CF6FE4">
      <w:pPr>
        <w:ind w:firstLine="709"/>
        <w:jc w:val="both"/>
      </w:pPr>
      <w:r>
        <w:t>в пункте 59 цифру «2» заменить цифрой  «3»;</w:t>
      </w:r>
    </w:p>
    <w:p w:rsidR="00CF6FE4" w:rsidRDefault="00CF6FE4" w:rsidP="00CF6FE4">
      <w:pPr>
        <w:ind w:firstLine="709"/>
        <w:jc w:val="both"/>
      </w:pPr>
      <w:r>
        <w:t>4)</w:t>
      </w:r>
      <w:r w:rsidR="008C5639">
        <w:t xml:space="preserve"> </w:t>
      </w:r>
      <w:r>
        <w:t>дополнить Положение главой V-I следующего содержания:</w:t>
      </w:r>
    </w:p>
    <w:p w:rsidR="008C5639" w:rsidRDefault="008C5639" w:rsidP="00CF6FE4">
      <w:pPr>
        <w:ind w:firstLine="709"/>
        <w:jc w:val="both"/>
      </w:pPr>
    </w:p>
    <w:p w:rsidR="008C5639" w:rsidRDefault="00CF6FE4" w:rsidP="008C5639">
      <w:pPr>
        <w:ind w:firstLine="709"/>
        <w:jc w:val="center"/>
      </w:pPr>
      <w:r>
        <w:t>«V-I</w:t>
      </w:r>
      <w:r w:rsidR="008C5639">
        <w:t>.</w:t>
      </w:r>
      <w:r>
        <w:t xml:space="preserve"> Особенности формирования </w:t>
      </w:r>
    </w:p>
    <w:p w:rsidR="00CF6FE4" w:rsidRDefault="00CF6FE4" w:rsidP="008C5639">
      <w:pPr>
        <w:ind w:firstLine="709"/>
        <w:jc w:val="center"/>
      </w:pPr>
      <w:r>
        <w:t>систем</w:t>
      </w:r>
      <w:r w:rsidR="008C5639">
        <w:t xml:space="preserve"> </w:t>
      </w:r>
      <w:r>
        <w:t>оплаты труда работников</w:t>
      </w:r>
    </w:p>
    <w:p w:rsidR="008C5639" w:rsidRDefault="008C5639" w:rsidP="008C5639">
      <w:pPr>
        <w:ind w:firstLine="709"/>
        <w:jc w:val="center"/>
      </w:pPr>
    </w:p>
    <w:p w:rsidR="00CF6FE4" w:rsidRDefault="00CF6FE4" w:rsidP="00CF6FE4">
      <w:pPr>
        <w:ind w:firstLine="709"/>
        <w:jc w:val="both"/>
      </w:pPr>
      <w:r>
        <w:t xml:space="preserve">61.1. Руководители муниципальных образовательных организаций в целях развития кадрового потенциала, повышения престижности и привлекательности педагогической профессии, совершенствования системы оплаты труда педагогических и иных работников осуществляют перераспределение средств, предназначенных на оплату труда (без учета выплат компенсационного характера за работу в местностях с особыми климатическими условиями), так, чтобы размеры окладов (должностных окладов), ставок заработной платы работников в структуре заработной платы в образовательных организациях высшего образования составляли </w:t>
      </w:r>
      <w:r w:rsidR="008C5639">
        <w:t xml:space="preserve">               </w:t>
      </w:r>
      <w:r>
        <w:t xml:space="preserve">до 70 процентов, а в остальных образовательных организациях – </w:t>
      </w:r>
      <w:r w:rsidR="008C5639">
        <w:t xml:space="preserve">                      </w:t>
      </w:r>
      <w:r>
        <w:t>до 60 процентов.</w:t>
      </w:r>
    </w:p>
    <w:p w:rsidR="00CF6FE4" w:rsidRDefault="00CF6FE4" w:rsidP="00CF6FE4">
      <w:pPr>
        <w:ind w:firstLine="709"/>
        <w:jc w:val="both"/>
      </w:pPr>
      <w:r>
        <w:t>61.2. Руководители муниципальных учреждений культуры в целях повышения престижности и привлекательности работы в учреждениях культуры,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выплат, направленных на оклады (должностные оклады), ставки заработной платы (без учета выплат компенсационного характера за работу в местностях с особыми климатическими условиями), до 50-55 процентов.</w:t>
      </w:r>
    </w:p>
    <w:p w:rsidR="00CF6FE4" w:rsidRDefault="00CF6FE4" w:rsidP="00CF6FE4">
      <w:pPr>
        <w:ind w:firstLine="709"/>
        <w:jc w:val="both"/>
      </w:pPr>
      <w:r>
        <w:t>Повышение оплаты труда в первоочередном порядке производится работникам, относимым к основному персоналу.</w:t>
      </w:r>
    </w:p>
    <w:p w:rsidR="00CF6FE4" w:rsidRDefault="00CF6FE4" w:rsidP="00CF6FE4">
      <w:pPr>
        <w:ind w:firstLine="709"/>
        <w:jc w:val="both"/>
      </w:pPr>
      <w:r>
        <w:t>Повышение оплаты труда прочему персоналу осуществляется в соответствии с трудовым законодательством и иными нормативными правовыми актами, содержащими нормы трудового права и определяющими системы оплаты труда работников учреждений культуры.</w:t>
      </w:r>
    </w:p>
    <w:p w:rsidR="00CF6FE4" w:rsidRDefault="00CF6FE4" w:rsidP="00CF6FE4">
      <w:pPr>
        <w:ind w:firstLine="709"/>
        <w:jc w:val="both"/>
      </w:pPr>
      <w:r>
        <w:t>При определении перечней должностей, отнесенных к категории административно-управленческого персонала, основного персонала, вспомогательного персонала, необходимо использовать приказы Министерства культуры Российской Федерации:</w:t>
      </w:r>
    </w:p>
    <w:p w:rsidR="00CF6FE4" w:rsidRDefault="00CF6FE4" w:rsidP="00CF6FE4">
      <w:pPr>
        <w:ind w:firstLine="709"/>
        <w:jc w:val="both"/>
      </w:pPr>
      <w:r>
        <w:t>от 08.04.2013 года № 325 «Об утверждении примерного перечня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Федерации»;</w:t>
      </w:r>
    </w:p>
    <w:p w:rsidR="00CF6FE4" w:rsidRDefault="00CF6FE4" w:rsidP="00CF6FE4">
      <w:pPr>
        <w:ind w:firstLine="709"/>
        <w:jc w:val="both"/>
      </w:pPr>
      <w:r>
        <w:t xml:space="preserve">от 05.05.2014 года № 763 «Об утверждении перечней должностей и профессий работников федеральных государственных учреждений, </w:t>
      </w:r>
      <w:r>
        <w:lastRenderedPageBreak/>
        <w:t>подведомственных Министерству культуры Российской Федерации, относимых к основному персоналу по видам экономической деятельности»;</w:t>
      </w:r>
    </w:p>
    <w:p w:rsidR="00CF6FE4" w:rsidRDefault="00CF6FE4" w:rsidP="00CF6FE4">
      <w:pPr>
        <w:ind w:firstLine="709"/>
        <w:jc w:val="both"/>
      </w:pPr>
      <w:r>
        <w:t>от 25.09.2014 года № 1668 «Об утверждении примерного перечня должностей, отнесенных к категории вспомогательного персонала организаций, находящихся в ведении Министерства культуры Российской Федерации».</w:t>
      </w:r>
    </w:p>
    <w:p w:rsidR="00CF6FE4" w:rsidRDefault="00CF6FE4" w:rsidP="00CF6FE4">
      <w:pPr>
        <w:ind w:firstLine="709"/>
        <w:jc w:val="both"/>
      </w:pPr>
      <w:r>
        <w:t>В целях формирования обоснованных оптимальных показателей трудоемкости выполнения работ, выдачи нормированных заданий, установления штатной численности персонала в библиотеках, зоопарках, фильмофондах, музеях и других организациях музейного типа применяются типовые отраслевые нормы труда, утвержденные приказами Министерства культуры Российской Федерации от 30.12.2014 года:</w:t>
      </w:r>
    </w:p>
    <w:p w:rsidR="00CF6FE4" w:rsidRDefault="00CF6FE4" w:rsidP="00CF6FE4">
      <w:pPr>
        <w:ind w:firstLine="709"/>
        <w:jc w:val="both"/>
      </w:pPr>
      <w:r>
        <w:t>№ 2477   «Об утверждении типовых отраслевых норм труда на работы, выполняемые в библиотеках»,</w:t>
      </w:r>
      <w:r w:rsidR="008C5639">
        <w:t xml:space="preserve"> </w:t>
      </w:r>
      <w:r>
        <w:t>№</w:t>
      </w:r>
      <w:r w:rsidR="008C5639">
        <w:t xml:space="preserve"> </w:t>
      </w:r>
      <w:r>
        <w:t>2478 «Об утверждении типовых отраслевых норм труда на работы, выполняемые в зоопарках, фильмофондах, музеях и других организациях музейного типа»;</w:t>
      </w:r>
    </w:p>
    <w:p w:rsidR="008C5639" w:rsidRDefault="00CF6FE4" w:rsidP="008C5639">
      <w:pPr>
        <w:ind w:firstLine="709"/>
        <w:jc w:val="both"/>
      </w:pPr>
      <w:r>
        <w:t xml:space="preserve">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</w:t>
      </w:r>
      <w:r w:rsidR="008C5639">
        <w:t>с учетом отраслевой специфики».</w:t>
      </w:r>
    </w:p>
    <w:p w:rsidR="00CF6FE4" w:rsidRDefault="00CF6FE4" w:rsidP="008C5639">
      <w:pPr>
        <w:ind w:firstLine="709"/>
        <w:jc w:val="both"/>
      </w:pPr>
      <w:r>
        <w:t>При этом одновременно используются Методические рекомендации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 (письмо Министерства культуры Российской Федерации от 03.07.2015 года № 231-01-39-НМ).»;</w:t>
      </w:r>
    </w:p>
    <w:p w:rsidR="00CF6FE4" w:rsidRDefault="00CF6FE4" w:rsidP="00CF6FE4">
      <w:pPr>
        <w:ind w:firstLine="709"/>
        <w:jc w:val="both"/>
      </w:pPr>
      <w:r>
        <w:t>5)</w:t>
      </w:r>
      <w:r w:rsidR="008C5639">
        <w:t xml:space="preserve">  главу VI </w:t>
      </w:r>
      <w:r>
        <w:t>дополнить пунктом 66 следующего содержания:</w:t>
      </w:r>
    </w:p>
    <w:p w:rsidR="00CF6FE4" w:rsidRDefault="00CF6FE4" w:rsidP="00CF6FE4">
      <w:pPr>
        <w:ind w:firstLine="709"/>
        <w:jc w:val="both"/>
      </w:pPr>
      <w:r>
        <w:t>«66. Средства, предусмотренные в бюджете Карталинского муниципального района на увеличение фондов оплаты труда работников муниципальных учреждений, направляются на увеличение размеров окладов (должностных окладов), ставок заработной платы работников муниципальных  учреждений в пределах выделенных средств</w:t>
      </w:r>
      <w:r w:rsidR="008C5639">
        <w:t>.</w:t>
      </w:r>
      <w:r>
        <w:t>».</w:t>
      </w:r>
    </w:p>
    <w:p w:rsidR="00CF6FE4" w:rsidRDefault="00CF6FE4" w:rsidP="00CF6FE4">
      <w:pPr>
        <w:ind w:firstLine="709"/>
        <w:jc w:val="both"/>
      </w:pPr>
      <w:r>
        <w:t>2. Опубликовать настоящее постановление на официальном сайте администрации Карталинского муниципального района.</w:t>
      </w:r>
    </w:p>
    <w:p w:rsidR="00CF6FE4" w:rsidRDefault="00CF6FE4" w:rsidP="00CF6FE4">
      <w:pPr>
        <w:ind w:firstLine="709"/>
        <w:jc w:val="both"/>
      </w:pPr>
      <w:r>
        <w:t xml:space="preserve">3. Организацию исполнения настоящего постановления возложить на заместителя главы Карталинского муниципального района Клюшину Г.А. </w:t>
      </w:r>
    </w:p>
    <w:p w:rsidR="00CF6FE4" w:rsidRDefault="00CF6FE4" w:rsidP="00CF6FE4">
      <w:pPr>
        <w:jc w:val="both"/>
      </w:pPr>
    </w:p>
    <w:p w:rsidR="008C5639" w:rsidRDefault="008C5639" w:rsidP="00CF6FE4">
      <w:pPr>
        <w:jc w:val="both"/>
      </w:pPr>
    </w:p>
    <w:p w:rsidR="00CF6FE4" w:rsidRDefault="00CF6FE4" w:rsidP="00CF6FE4">
      <w:pPr>
        <w:jc w:val="both"/>
      </w:pPr>
    </w:p>
    <w:p w:rsidR="00CF6FE4" w:rsidRDefault="00CF6FE4" w:rsidP="00CF6FE4">
      <w:pPr>
        <w:jc w:val="both"/>
      </w:pPr>
      <w:r>
        <w:t>Глава Карталинского</w:t>
      </w:r>
    </w:p>
    <w:p w:rsidR="00DD50C4" w:rsidRDefault="00CF6FE4" w:rsidP="00CF6FE4">
      <w:pPr>
        <w:jc w:val="both"/>
      </w:pPr>
      <w:r>
        <w:t>муниципального района                                                                      С.Н. Шулаев</w:t>
      </w:r>
    </w:p>
    <w:p w:rsidR="00CF6FE4" w:rsidRPr="00127E82" w:rsidRDefault="00CF6FE4" w:rsidP="00127E82">
      <w:pPr>
        <w:tabs>
          <w:tab w:val="left" w:pos="8007"/>
        </w:tabs>
        <w:rPr>
          <w:rStyle w:val="FontStyle15"/>
          <w:rFonts w:ascii="Times New Roman" w:eastAsia="Calibri" w:hAnsi="Times New Roman"/>
          <w:b w:val="0"/>
          <w:sz w:val="28"/>
          <w:szCs w:val="22"/>
        </w:rPr>
      </w:pPr>
    </w:p>
    <w:sectPr w:rsidR="00CF6FE4" w:rsidRPr="00127E82" w:rsidSect="001F4B3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96" w:rsidRDefault="00010B96">
      <w:r>
        <w:separator/>
      </w:r>
    </w:p>
  </w:endnote>
  <w:endnote w:type="continuationSeparator" w:id="0">
    <w:p w:rsidR="00010B96" w:rsidRDefault="0001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96" w:rsidRDefault="00010B96">
      <w:r>
        <w:separator/>
      </w:r>
    </w:p>
  </w:footnote>
  <w:footnote w:type="continuationSeparator" w:id="0">
    <w:p w:rsidR="00010B96" w:rsidRDefault="0001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3B" w:rsidRDefault="004E27C1" w:rsidP="001F4B3B">
    <w:pPr>
      <w:pStyle w:val="a3"/>
      <w:jc w:val="center"/>
    </w:pPr>
    <w:fldSimple w:instr=" PAGE   \* MERGEFORMAT ">
      <w:r w:rsidR="00C7524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DE9"/>
    <w:multiLevelType w:val="hybridMultilevel"/>
    <w:tmpl w:val="71B0D57C"/>
    <w:lvl w:ilvl="0" w:tplc="7F0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2D3"/>
    <w:rsid w:val="000076FD"/>
    <w:rsid w:val="00010B96"/>
    <w:rsid w:val="00072F33"/>
    <w:rsid w:val="000A0027"/>
    <w:rsid w:val="000C6C68"/>
    <w:rsid w:val="000D4345"/>
    <w:rsid w:val="000F075F"/>
    <w:rsid w:val="0011698C"/>
    <w:rsid w:val="00127E82"/>
    <w:rsid w:val="001871A7"/>
    <w:rsid w:val="001978B4"/>
    <w:rsid w:val="001D75B6"/>
    <w:rsid w:val="001F4B3B"/>
    <w:rsid w:val="00222D1F"/>
    <w:rsid w:val="00227B5B"/>
    <w:rsid w:val="002360AD"/>
    <w:rsid w:val="00292348"/>
    <w:rsid w:val="00295987"/>
    <w:rsid w:val="002A2FF7"/>
    <w:rsid w:val="002A67A5"/>
    <w:rsid w:val="0032010A"/>
    <w:rsid w:val="0046479B"/>
    <w:rsid w:val="0048499A"/>
    <w:rsid w:val="004B1A38"/>
    <w:rsid w:val="004D2C98"/>
    <w:rsid w:val="004E27C1"/>
    <w:rsid w:val="004F7C92"/>
    <w:rsid w:val="00595BF7"/>
    <w:rsid w:val="005C775A"/>
    <w:rsid w:val="005D359C"/>
    <w:rsid w:val="005F067B"/>
    <w:rsid w:val="006215D2"/>
    <w:rsid w:val="006562D3"/>
    <w:rsid w:val="006D3545"/>
    <w:rsid w:val="006D657C"/>
    <w:rsid w:val="006F1779"/>
    <w:rsid w:val="007037B1"/>
    <w:rsid w:val="00747CC7"/>
    <w:rsid w:val="00762ECE"/>
    <w:rsid w:val="00867E22"/>
    <w:rsid w:val="008C5639"/>
    <w:rsid w:val="008C56D1"/>
    <w:rsid w:val="00916A0A"/>
    <w:rsid w:val="00953C8F"/>
    <w:rsid w:val="00953D1E"/>
    <w:rsid w:val="00955F0A"/>
    <w:rsid w:val="00971F13"/>
    <w:rsid w:val="009C2F2D"/>
    <w:rsid w:val="009C4714"/>
    <w:rsid w:val="009D357C"/>
    <w:rsid w:val="009D4066"/>
    <w:rsid w:val="00A2464D"/>
    <w:rsid w:val="00A619F7"/>
    <w:rsid w:val="00A71549"/>
    <w:rsid w:val="00A8361F"/>
    <w:rsid w:val="00A83FF8"/>
    <w:rsid w:val="00A9016F"/>
    <w:rsid w:val="00AB6DC2"/>
    <w:rsid w:val="00AC36D8"/>
    <w:rsid w:val="00B14DC3"/>
    <w:rsid w:val="00B85F16"/>
    <w:rsid w:val="00B93647"/>
    <w:rsid w:val="00BB3986"/>
    <w:rsid w:val="00BB4069"/>
    <w:rsid w:val="00C7524F"/>
    <w:rsid w:val="00CC4574"/>
    <w:rsid w:val="00CF6FE4"/>
    <w:rsid w:val="00D2257F"/>
    <w:rsid w:val="00DB11C9"/>
    <w:rsid w:val="00DD50C4"/>
    <w:rsid w:val="00E13C2C"/>
    <w:rsid w:val="00E545F1"/>
    <w:rsid w:val="00E63C2D"/>
    <w:rsid w:val="00E916DB"/>
    <w:rsid w:val="00E97066"/>
    <w:rsid w:val="00F771B4"/>
    <w:rsid w:val="00F958DF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D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562D3"/>
    <w:rPr>
      <w:sz w:val="28"/>
      <w:szCs w:val="28"/>
      <w:lang w:val="ru-RU" w:eastAsia="en-US" w:bidi="ar-SA"/>
    </w:rPr>
  </w:style>
  <w:style w:type="paragraph" w:styleId="a5">
    <w:name w:val="footer"/>
    <w:basedOn w:val="a"/>
    <w:link w:val="a6"/>
    <w:semiHidden/>
    <w:rsid w:val="00656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6562D3"/>
    <w:rPr>
      <w:sz w:val="28"/>
      <w:szCs w:val="28"/>
      <w:lang w:val="ru-RU" w:eastAsia="en-US" w:bidi="ar-SA"/>
    </w:rPr>
  </w:style>
  <w:style w:type="character" w:styleId="a7">
    <w:name w:val="Hyperlink"/>
    <w:rsid w:val="006562D3"/>
    <w:rPr>
      <w:rFonts w:cs="Times New Roman"/>
      <w:color w:val="0000FF"/>
      <w:u w:val="single"/>
    </w:rPr>
  </w:style>
  <w:style w:type="table" w:styleId="a8">
    <w:name w:val="Table Grid"/>
    <w:basedOn w:val="a1"/>
    <w:rsid w:val="009D406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F1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A619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rsid w:val="00A619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3">
    <w:name w:val="Font Style13"/>
    <w:rsid w:val="00A619F7"/>
    <w:rPr>
      <w:rFonts w:ascii="Courier New" w:hAnsi="Courier New"/>
      <w:spacing w:val="-10"/>
      <w:sz w:val="26"/>
    </w:rPr>
  </w:style>
  <w:style w:type="character" w:customStyle="1" w:styleId="FontStyle14">
    <w:name w:val="Font Style14"/>
    <w:rsid w:val="00A619F7"/>
    <w:rPr>
      <w:rFonts w:ascii="Calibri" w:hAnsi="Calibri"/>
      <w:spacing w:val="-20"/>
      <w:sz w:val="30"/>
    </w:rPr>
  </w:style>
  <w:style w:type="character" w:customStyle="1" w:styleId="FontStyle15">
    <w:name w:val="Font Style15"/>
    <w:rsid w:val="00A619F7"/>
    <w:rPr>
      <w:rFonts w:ascii="Calibri" w:hAnsi="Calibri"/>
      <w:b/>
      <w:sz w:val="24"/>
    </w:rPr>
  </w:style>
  <w:style w:type="paragraph" w:styleId="a9">
    <w:name w:val="Balloon Text"/>
    <w:basedOn w:val="a"/>
    <w:link w:val="aa"/>
    <w:rsid w:val="00227B5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27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5BA7-297E-4FED-9ABC-31B8FA85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9031</CharactersWithSpaces>
  <SharedDoc>false</SharedDoc>
  <HLinks>
    <vt:vector size="42" baseType="variant">
      <vt:variant>
        <vt:i4>7012384</vt:i4>
      </vt:variant>
      <vt:variant>
        <vt:i4>18</vt:i4>
      </vt:variant>
      <vt:variant>
        <vt:i4>0</vt:i4>
      </vt:variant>
      <vt:variant>
        <vt:i4>5</vt:i4>
      </vt:variant>
      <vt:variant>
        <vt:lpwstr>garantf1://8617817.265/</vt:lpwstr>
      </vt:variant>
      <vt:variant>
        <vt:lpwstr/>
      </vt:variant>
      <vt:variant>
        <vt:i4>4259860</vt:i4>
      </vt:variant>
      <vt:variant>
        <vt:i4>15</vt:i4>
      </vt:variant>
      <vt:variant>
        <vt:i4>0</vt:i4>
      </vt:variant>
      <vt:variant>
        <vt:i4>5</vt:i4>
      </vt:variant>
      <vt:variant>
        <vt:lpwstr>garantf1://8617817.1032/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garantf1://71073628.0/</vt:lpwstr>
      </vt:variant>
      <vt:variant>
        <vt:lpwstr/>
      </vt:variant>
      <vt:variant>
        <vt:i4>4259856</vt:i4>
      </vt:variant>
      <vt:variant>
        <vt:i4>9</vt:i4>
      </vt:variant>
      <vt:variant>
        <vt:i4>0</vt:i4>
      </vt:variant>
      <vt:variant>
        <vt:i4>5</vt:i4>
      </vt:variant>
      <vt:variant>
        <vt:lpwstr>garantf1://8617817.2600/</vt:lpwstr>
      </vt:variant>
      <vt:variant>
        <vt:lpwstr/>
      </vt:variant>
      <vt:variant>
        <vt:i4>6094871</vt:i4>
      </vt:variant>
      <vt:variant>
        <vt:i4>6</vt:i4>
      </vt:variant>
      <vt:variant>
        <vt:i4>0</vt:i4>
      </vt:variant>
      <vt:variant>
        <vt:i4>5</vt:i4>
      </vt:variant>
      <vt:variant>
        <vt:lpwstr>garantf1://8617817.10717/</vt:lpwstr>
      </vt:variant>
      <vt:variant>
        <vt:lpwstr/>
      </vt:variant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garantf1://8617817.119/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garantf1://8617817.51/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Пользователь</cp:lastModifiedBy>
  <cp:revision>14</cp:revision>
  <cp:lastPrinted>2016-08-12T08:11:00Z</cp:lastPrinted>
  <dcterms:created xsi:type="dcterms:W3CDTF">2016-09-02T05:14:00Z</dcterms:created>
  <dcterms:modified xsi:type="dcterms:W3CDTF">2016-09-08T08:18:00Z</dcterms:modified>
</cp:coreProperties>
</file>