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02" w:rsidRDefault="00AA230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2302" w:rsidRDefault="00AA23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23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302" w:rsidRDefault="00AA2302">
            <w:pPr>
              <w:pStyle w:val="ConsPlusNormal"/>
              <w:outlineLvl w:val="0"/>
            </w:pPr>
            <w:r>
              <w:t>18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302" w:rsidRDefault="00AA2302">
            <w:pPr>
              <w:pStyle w:val="ConsPlusNormal"/>
              <w:jc w:val="right"/>
              <w:outlineLvl w:val="0"/>
            </w:pPr>
            <w:r>
              <w:t>N 88-ЗО</w:t>
            </w:r>
          </w:p>
        </w:tc>
      </w:tr>
    </w:tbl>
    <w:p w:rsidR="00AA2302" w:rsidRDefault="00AA2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</w:pPr>
      <w:r>
        <w:t>РОССИЙСКАЯ ФЕДЕРАЦИЯ</w:t>
      </w:r>
    </w:p>
    <w:p w:rsidR="00AA2302" w:rsidRDefault="00AA2302">
      <w:pPr>
        <w:pStyle w:val="ConsPlusTitle"/>
        <w:jc w:val="center"/>
      </w:pPr>
    </w:p>
    <w:p w:rsidR="00AA2302" w:rsidRDefault="00AA2302">
      <w:pPr>
        <w:pStyle w:val="ConsPlusTitle"/>
        <w:jc w:val="center"/>
      </w:pPr>
      <w:r>
        <w:t>ЗАКОН</w:t>
      </w:r>
    </w:p>
    <w:p w:rsidR="00AA2302" w:rsidRDefault="00AA2302">
      <w:pPr>
        <w:pStyle w:val="ConsPlusTitle"/>
        <w:jc w:val="center"/>
      </w:pPr>
      <w:r>
        <w:t>ЧЕЛЯБИНСКОЙ ОБЛАСТИ</w:t>
      </w:r>
    </w:p>
    <w:p w:rsidR="00AA2302" w:rsidRDefault="00AA2302">
      <w:pPr>
        <w:pStyle w:val="ConsPlusTitle"/>
        <w:jc w:val="center"/>
      </w:pPr>
    </w:p>
    <w:p w:rsidR="00AA2302" w:rsidRDefault="00AA2302">
      <w:pPr>
        <w:pStyle w:val="ConsPlusTitle"/>
        <w:jc w:val="center"/>
      </w:pPr>
      <w:r>
        <w:t>О компенсации расходов на оплату жилых помещений, отопления,</w:t>
      </w:r>
    </w:p>
    <w:p w:rsidR="00AA2302" w:rsidRDefault="00AA2302">
      <w:pPr>
        <w:pStyle w:val="ConsPlusTitle"/>
        <w:jc w:val="center"/>
      </w:pPr>
      <w:r>
        <w:t xml:space="preserve">освещения и услуг по обращению с </w:t>
      </w:r>
      <w:proofErr w:type="gramStart"/>
      <w:r>
        <w:t>твердыми</w:t>
      </w:r>
      <w:proofErr w:type="gramEnd"/>
      <w:r>
        <w:t xml:space="preserve"> коммунальными</w:t>
      </w:r>
    </w:p>
    <w:p w:rsidR="00AA2302" w:rsidRDefault="00AA2302">
      <w:pPr>
        <w:pStyle w:val="ConsPlusTitle"/>
        <w:jc w:val="center"/>
      </w:pPr>
      <w:r>
        <w:t>отходами отдельным категориям граждан, работающих</w:t>
      </w:r>
    </w:p>
    <w:p w:rsidR="00AA2302" w:rsidRDefault="00AA2302">
      <w:pPr>
        <w:pStyle w:val="ConsPlusTitle"/>
        <w:jc w:val="center"/>
      </w:pPr>
      <w:r>
        <w:t>и проживающих в сельских населенных пунктах и рабочих</w:t>
      </w:r>
    </w:p>
    <w:p w:rsidR="00AA2302" w:rsidRDefault="00AA2302">
      <w:pPr>
        <w:pStyle w:val="ConsPlusTitle"/>
        <w:jc w:val="center"/>
      </w:pPr>
      <w:proofErr w:type="gramStart"/>
      <w:r>
        <w:t>поселках</w:t>
      </w:r>
      <w:proofErr w:type="gramEnd"/>
      <w:r>
        <w:t xml:space="preserve"> (поселках городского типа) Челябинской области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right"/>
      </w:pPr>
      <w:proofErr w:type="gramStart"/>
      <w:r>
        <w:t>Принят</w:t>
      </w:r>
      <w:proofErr w:type="gramEnd"/>
    </w:p>
    <w:p w:rsidR="00AA2302" w:rsidRDefault="00AA2302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AA2302" w:rsidRDefault="00AA2302">
      <w:pPr>
        <w:pStyle w:val="ConsPlusNormal"/>
        <w:jc w:val="right"/>
      </w:pPr>
      <w:r>
        <w:t>Законодательного Собрания</w:t>
      </w:r>
    </w:p>
    <w:p w:rsidR="00AA2302" w:rsidRDefault="00AA2302">
      <w:pPr>
        <w:pStyle w:val="ConsPlusNormal"/>
        <w:jc w:val="right"/>
      </w:pPr>
      <w:r>
        <w:t>Челябинской области</w:t>
      </w:r>
    </w:p>
    <w:p w:rsidR="00AA2302" w:rsidRDefault="00AA2302">
      <w:pPr>
        <w:pStyle w:val="ConsPlusNormal"/>
        <w:jc w:val="right"/>
      </w:pPr>
      <w:r>
        <w:t>от 18 декабря 2014 г. N 2402</w:t>
      </w:r>
    </w:p>
    <w:p w:rsidR="00AA2302" w:rsidRDefault="00AA2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2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302" w:rsidRDefault="00AA2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302" w:rsidRDefault="00AA23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Челябинской области от 29.10.2015 </w:t>
            </w:r>
            <w:hyperlink r:id="rId7" w:history="1">
              <w:r>
                <w:rPr>
                  <w:color w:val="0000FF"/>
                </w:rPr>
                <w:t>N 246-ЗО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2302" w:rsidRDefault="00A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 w:history="1">
              <w:r>
                <w:rPr>
                  <w:color w:val="0000FF"/>
                </w:rPr>
                <w:t>N 725-ЗО</w:t>
              </w:r>
            </w:hyperlink>
            <w:r>
              <w:rPr>
                <w:color w:val="392C69"/>
              </w:rPr>
              <w:t xml:space="preserve">, от 05.06.2019 </w:t>
            </w:r>
            <w:hyperlink r:id="rId9" w:history="1">
              <w:r>
                <w:rPr>
                  <w:color w:val="0000FF"/>
                </w:rPr>
                <w:t>N 905-ЗО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Настоящий Закон устанавливает размер, условия и порядок компенсации расходов на оплату жилых помещений, отопления, освещения и услуг по обращению с твердыми коммунальными отходами (далее - компенсация расходов)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области.</w:t>
      </w:r>
    </w:p>
    <w:p w:rsidR="00AA2302" w:rsidRDefault="00AA230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2. Лица, на которых распространяется действие настоящего Закона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bookmarkStart w:id="0" w:name="P31"/>
      <w:bookmarkEnd w:id="0"/>
      <w:r>
        <w:t xml:space="preserve">1. </w:t>
      </w:r>
      <w:proofErr w:type="gramStart"/>
      <w:r>
        <w:t>Действие настоящего Закона распространяется на специалистов 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расположенных в сельских населенных пунктах и рабочих поселках (поселках городского типа) Челябинской области, проживающих в указанных сельских населенных пунктах и рабочих поселках (поселках городского типа) (далее - сельский специалист), а также на лиц, перешедших на пенсию и</w:t>
      </w:r>
      <w:proofErr w:type="gramEnd"/>
      <w:r>
        <w:t xml:space="preserve"> проживающих в сельских населенных пунктах и рабочих поселках (поселках городского типа) Челябинской области, имеющих стаж работы в указанных организациях и учреждениях не менее 10 лет (далее - сельский специалист, перешедший на пенсию).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 xml:space="preserve">2. </w:t>
      </w:r>
      <w:hyperlink w:anchor="P91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специалистов 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расположенных в сельских населенных пунктах и рабочих поселках (поселках </w:t>
      </w:r>
      <w:r>
        <w:lastRenderedPageBreak/>
        <w:t>городского типа) Челябинской области, имеющих право на компенсацию расходов на оплату жилых помещений, отопления, освещения и услуг по обращению с твердыми коммунальными отходами, приведен в приложении к настоящему Закону.</w:t>
      </w:r>
      <w:proofErr w:type="gramEnd"/>
    </w:p>
    <w:p w:rsidR="00AA2302" w:rsidRDefault="00AA23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3. Форма и размер компенсации расходов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Компенсация расходов сельским специалистам и сельским специалистам, перешедшим на пенсию, осуществляется в форме ежемесячной денежной выплаты в размере 1413 рублей.</w:t>
      </w:r>
    </w:p>
    <w:p w:rsidR="00AA2302" w:rsidRDefault="00AA230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период.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4. Порядок и условия предоставления компенсации расходов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1. Компенсация расходов предоставляется: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 xml:space="preserve">1) органами исполнительной власти Челябинской области и органами местного самоуправления Челябинской области, которым подведомственны указанные в </w:t>
      </w:r>
      <w:hyperlink w:anchor="P31" w:history="1">
        <w:r>
          <w:rPr>
            <w:color w:val="0000FF"/>
          </w:rPr>
          <w:t>части 1 статьи 2</w:t>
        </w:r>
      </w:hyperlink>
      <w:r>
        <w:t xml:space="preserve"> настоящего Закона организации и учреждения, по месту работы сельских специалистов;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2) органами социальной защиты населения городских округов и муниципальных районов Челябинской области по месту жительства либо по месту пребывания сельских специалистов, перешедших на пенсию.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2. При наличии у сельского специалиста или сельского специалиста, перешедшего на пенсию, права на получение компенсации расходов по нескольким основаниям компенсация расходов осуществляется по одному из оснований по его выбору.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3. Порядок предоставления компенсации расходов сельским специалистам и сельским специалистам, перешедшим на пенсию, устанавливается Правительством Челябинской области.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4-1. Обеспечение размещения информации о компенсации расходов</w:t>
      </w:r>
    </w:p>
    <w:p w:rsidR="00AA2302" w:rsidRDefault="00AA230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Челябинской области от 07.06.2018 N 725-ЗО)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 xml:space="preserve">Информация о компенсации расходов сельским специалистам и сельским специалистам, перешедшим на пенсию, установленной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5. Порядок финансирования компенсации расходов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Финансирование компенсации расходов сельским специалистам и сельским специалистам, перешедшим на пенсию, осуществляется за счет средств областного бюджета в порядке, установленном Правительством Челябинской области.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ind w:firstLine="540"/>
        <w:jc w:val="both"/>
        <w:outlineLvl w:val="1"/>
      </w:pPr>
      <w:r>
        <w:t>Статья 6. Порядок вступления в силу настоящего Закона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1. Настоящий Закон вступает в силу с 1 июля 2015 года.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15" w:history="1">
        <w:r>
          <w:rPr>
            <w:color w:val="0000FF"/>
          </w:rPr>
          <w:t>Закон</w:t>
        </w:r>
      </w:hyperlink>
      <w:r>
        <w:t xml:space="preserve"> </w:t>
      </w:r>
      <w:r>
        <w:lastRenderedPageBreak/>
        <w:t>Челябинской области от 23 июня 2011 года N 143-ЗО "О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области" (</w:t>
      </w:r>
      <w:proofErr w:type="spellStart"/>
      <w:r>
        <w:t>Южноуральская</w:t>
      </w:r>
      <w:proofErr w:type="spellEnd"/>
      <w:r>
        <w:t xml:space="preserve"> панорама, 2011, 30 июня).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3. Сельские специалисты и сельские специалисты, перешедшие на пенсию, имеют право на получение компенсации расходов, причитавшейся им до 1 июля 2015 года, но не полученной ими.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right"/>
      </w:pPr>
      <w:r>
        <w:t>Губернатор</w:t>
      </w:r>
    </w:p>
    <w:p w:rsidR="00AA2302" w:rsidRDefault="00AA2302">
      <w:pPr>
        <w:pStyle w:val="ConsPlusNormal"/>
        <w:jc w:val="right"/>
      </w:pPr>
      <w:r>
        <w:t>Челябинской области</w:t>
      </w:r>
    </w:p>
    <w:p w:rsidR="00AA2302" w:rsidRDefault="00AA2302">
      <w:pPr>
        <w:pStyle w:val="ConsPlusNormal"/>
        <w:jc w:val="right"/>
      </w:pPr>
      <w:r>
        <w:t>Б.А.ДУБРОВСКИЙ</w:t>
      </w:r>
    </w:p>
    <w:p w:rsidR="00AA2302" w:rsidRDefault="00AA2302">
      <w:pPr>
        <w:pStyle w:val="ConsPlusNormal"/>
        <w:jc w:val="right"/>
      </w:pPr>
      <w:r>
        <w:t>25.12.2014</w:t>
      </w:r>
    </w:p>
    <w:p w:rsidR="00AA2302" w:rsidRDefault="00AA2302">
      <w:pPr>
        <w:pStyle w:val="ConsPlusNormal"/>
      </w:pPr>
      <w:r>
        <w:t>г. Челябинск</w:t>
      </w:r>
    </w:p>
    <w:p w:rsidR="00AA2302" w:rsidRDefault="00AA2302">
      <w:pPr>
        <w:pStyle w:val="ConsPlusNormal"/>
        <w:spacing w:before="220"/>
      </w:pPr>
      <w:r>
        <w:t>N 88-ЗО от 18 декабря 2014 года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right"/>
        <w:outlineLvl w:val="0"/>
      </w:pPr>
      <w:r>
        <w:t>Приложение</w:t>
      </w:r>
    </w:p>
    <w:p w:rsidR="00AA2302" w:rsidRDefault="00AA2302">
      <w:pPr>
        <w:pStyle w:val="ConsPlusNormal"/>
        <w:jc w:val="right"/>
      </w:pPr>
      <w:r>
        <w:t>к Закону</w:t>
      </w:r>
    </w:p>
    <w:p w:rsidR="00AA2302" w:rsidRDefault="00AA2302">
      <w:pPr>
        <w:pStyle w:val="ConsPlusNormal"/>
        <w:jc w:val="right"/>
      </w:pPr>
      <w:r>
        <w:t>Челябинской области</w:t>
      </w:r>
    </w:p>
    <w:p w:rsidR="00AA2302" w:rsidRDefault="00AA2302">
      <w:pPr>
        <w:pStyle w:val="ConsPlusNormal"/>
        <w:jc w:val="right"/>
      </w:pPr>
      <w:r>
        <w:t>"О компенсации расходов</w:t>
      </w:r>
    </w:p>
    <w:p w:rsidR="00AA2302" w:rsidRDefault="00AA2302">
      <w:pPr>
        <w:pStyle w:val="ConsPlusNormal"/>
        <w:jc w:val="right"/>
      </w:pPr>
      <w:r>
        <w:t>на оплату жилых помещений,</w:t>
      </w:r>
    </w:p>
    <w:p w:rsidR="00AA2302" w:rsidRDefault="00AA2302">
      <w:pPr>
        <w:pStyle w:val="ConsPlusNormal"/>
        <w:jc w:val="right"/>
      </w:pPr>
      <w:r>
        <w:t>отопления, освещения</w:t>
      </w:r>
    </w:p>
    <w:p w:rsidR="00AA2302" w:rsidRDefault="00AA2302">
      <w:pPr>
        <w:pStyle w:val="ConsPlusNormal"/>
        <w:jc w:val="right"/>
      </w:pPr>
      <w:r>
        <w:t>и услуг по обращению</w:t>
      </w:r>
    </w:p>
    <w:p w:rsidR="00AA2302" w:rsidRDefault="00AA2302">
      <w:pPr>
        <w:pStyle w:val="ConsPlusNormal"/>
        <w:jc w:val="right"/>
      </w:pPr>
      <w:r>
        <w:t>с твердыми коммунальными отходами</w:t>
      </w:r>
    </w:p>
    <w:p w:rsidR="00AA2302" w:rsidRDefault="00AA2302">
      <w:pPr>
        <w:pStyle w:val="ConsPlusNormal"/>
        <w:jc w:val="right"/>
      </w:pPr>
      <w:r>
        <w:t>отдельным категориям граждан,</w:t>
      </w:r>
    </w:p>
    <w:p w:rsidR="00AA2302" w:rsidRDefault="00AA2302">
      <w:pPr>
        <w:pStyle w:val="ConsPlusNormal"/>
        <w:jc w:val="right"/>
      </w:pPr>
      <w:r>
        <w:t>работающих и проживающих</w:t>
      </w:r>
    </w:p>
    <w:p w:rsidR="00AA2302" w:rsidRDefault="00AA2302">
      <w:pPr>
        <w:pStyle w:val="ConsPlusNormal"/>
        <w:jc w:val="right"/>
      </w:pPr>
      <w:r>
        <w:t>в сельских населенных пунктах</w:t>
      </w:r>
    </w:p>
    <w:p w:rsidR="00AA2302" w:rsidRDefault="00AA2302">
      <w:pPr>
        <w:pStyle w:val="ConsPlusNormal"/>
        <w:jc w:val="right"/>
      </w:pPr>
      <w:r>
        <w:t>и рабочих поселках</w:t>
      </w:r>
    </w:p>
    <w:p w:rsidR="00AA2302" w:rsidRDefault="00AA2302">
      <w:pPr>
        <w:pStyle w:val="ConsPlusNormal"/>
        <w:jc w:val="right"/>
      </w:pPr>
      <w:r>
        <w:t>(</w:t>
      </w:r>
      <w:proofErr w:type="gramStart"/>
      <w:r>
        <w:t>поселках</w:t>
      </w:r>
      <w:proofErr w:type="gramEnd"/>
      <w:r>
        <w:t xml:space="preserve"> городского типа)</w:t>
      </w:r>
    </w:p>
    <w:p w:rsidR="00AA2302" w:rsidRDefault="00AA2302">
      <w:pPr>
        <w:pStyle w:val="ConsPlusNormal"/>
        <w:jc w:val="right"/>
      </w:pPr>
      <w:r>
        <w:t>Челябинской области"</w:t>
      </w:r>
    </w:p>
    <w:p w:rsidR="00AA2302" w:rsidRDefault="00AA2302">
      <w:pPr>
        <w:pStyle w:val="ConsPlusNormal"/>
        <w:jc w:val="right"/>
      </w:pPr>
      <w:r>
        <w:t>от 18 декабря 2014 г. N 88-ЗО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</w:pPr>
      <w:bookmarkStart w:id="1" w:name="P91"/>
      <w:bookmarkEnd w:id="1"/>
      <w:r>
        <w:t>Перечень</w:t>
      </w:r>
    </w:p>
    <w:p w:rsidR="00AA2302" w:rsidRDefault="00AA2302">
      <w:pPr>
        <w:pStyle w:val="ConsPlusTitle"/>
        <w:jc w:val="center"/>
      </w:pPr>
      <w:r>
        <w:t>должностей специалистов областных государственных</w:t>
      </w:r>
    </w:p>
    <w:p w:rsidR="00AA2302" w:rsidRDefault="00AA2302">
      <w:pPr>
        <w:pStyle w:val="ConsPlusTitle"/>
        <w:jc w:val="center"/>
      </w:pPr>
      <w:r>
        <w:t>или муниципальных организаций культуры, медицинских</w:t>
      </w:r>
    </w:p>
    <w:p w:rsidR="00AA2302" w:rsidRDefault="00AA2302">
      <w:pPr>
        <w:pStyle w:val="ConsPlusTitle"/>
        <w:jc w:val="center"/>
      </w:pPr>
      <w:r>
        <w:t>организаций, образовательных организаций, учреждений</w:t>
      </w:r>
    </w:p>
    <w:p w:rsidR="00AA2302" w:rsidRDefault="00AA2302">
      <w:pPr>
        <w:pStyle w:val="ConsPlusTitle"/>
        <w:jc w:val="center"/>
      </w:pPr>
      <w:r>
        <w:t>ветеринарной службы, физкультурно-спортивных организаций,</w:t>
      </w:r>
    </w:p>
    <w:p w:rsidR="00AA2302" w:rsidRDefault="00AA2302">
      <w:pPr>
        <w:pStyle w:val="ConsPlusTitle"/>
        <w:jc w:val="center"/>
      </w:pPr>
      <w:r>
        <w:t>организаций социального обслуживания, расположенных</w:t>
      </w:r>
    </w:p>
    <w:p w:rsidR="00AA2302" w:rsidRDefault="00AA2302">
      <w:pPr>
        <w:pStyle w:val="ConsPlusTitle"/>
        <w:jc w:val="center"/>
      </w:pPr>
      <w:r>
        <w:t>в сельских населенных пунктах и рабочих поселках</w:t>
      </w:r>
    </w:p>
    <w:p w:rsidR="00AA2302" w:rsidRDefault="00AA2302">
      <w:pPr>
        <w:pStyle w:val="ConsPlusTitle"/>
        <w:jc w:val="center"/>
      </w:pPr>
      <w:r>
        <w:t>(</w:t>
      </w:r>
      <w:proofErr w:type="gramStart"/>
      <w:r>
        <w:t>поселках</w:t>
      </w:r>
      <w:proofErr w:type="gramEnd"/>
      <w:r>
        <w:t xml:space="preserve"> городского типа) Челябинской области,</w:t>
      </w:r>
    </w:p>
    <w:p w:rsidR="00AA2302" w:rsidRDefault="00AA2302">
      <w:pPr>
        <w:pStyle w:val="ConsPlusTitle"/>
        <w:jc w:val="center"/>
      </w:pPr>
      <w:r>
        <w:t>имеющих право на компенсацию расходов на оплату</w:t>
      </w:r>
    </w:p>
    <w:p w:rsidR="00AA2302" w:rsidRDefault="00AA2302">
      <w:pPr>
        <w:pStyle w:val="ConsPlusTitle"/>
        <w:jc w:val="center"/>
      </w:pPr>
      <w:r>
        <w:t>жилых помещений, отопления, освещения и услуг по обращению</w:t>
      </w:r>
    </w:p>
    <w:p w:rsidR="00AA2302" w:rsidRDefault="00AA2302">
      <w:pPr>
        <w:pStyle w:val="ConsPlusTitle"/>
        <w:jc w:val="center"/>
      </w:pPr>
      <w:r>
        <w:t>с твердыми коммунальными отходами</w:t>
      </w:r>
    </w:p>
    <w:p w:rsidR="00AA2302" w:rsidRDefault="00AA2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2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302" w:rsidRDefault="00AA2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302" w:rsidRDefault="00AA23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Челябинской области от 29.10.2015 </w:t>
            </w:r>
            <w:hyperlink r:id="rId16" w:history="1">
              <w:r>
                <w:rPr>
                  <w:color w:val="0000FF"/>
                </w:rPr>
                <w:t>N 246-ЗО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A2302" w:rsidRDefault="00AA2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7" w:history="1">
              <w:r>
                <w:rPr>
                  <w:color w:val="0000FF"/>
                </w:rPr>
                <w:t>N 905-ЗО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1"/>
      </w:pPr>
      <w:r>
        <w:t>ОРГАНИЗАЦИИ КУЛЬТУРЫ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Руководители,</w:t>
      </w:r>
    </w:p>
    <w:p w:rsidR="00AA2302" w:rsidRDefault="00AA2302">
      <w:pPr>
        <w:pStyle w:val="ConsPlusTitle"/>
        <w:jc w:val="center"/>
      </w:pPr>
      <w:proofErr w:type="gramStart"/>
      <w:r>
        <w:t>имеющие</w:t>
      </w:r>
      <w:proofErr w:type="gramEnd"/>
      <w:r>
        <w:t xml:space="preserve"> высшее и среднее специальное образование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proofErr w:type="gramStart"/>
      <w:r>
        <w:t>Заведующий (начальник) филиалом библиотеки (централизованной библиотечной системы), отделом (сектором) библиотеки, отделом (сектором) музея, филиалом музея, отделом (сектором) дома культуры, дворца культуры, организационно-методического центра, дома народного творчества</w:t>
      </w:r>
      <w:proofErr w:type="gramEnd"/>
    </w:p>
    <w:p w:rsidR="00AA2302" w:rsidRDefault="00AA2302">
      <w:pPr>
        <w:pStyle w:val="ConsPlusNormal"/>
        <w:spacing w:before="220"/>
        <w:ind w:firstLine="540"/>
        <w:jc w:val="both"/>
      </w:pPr>
      <w:r>
        <w:t>Главный библиотекарь, главный библиограф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Главный хранитель фондов</w:t>
      </w:r>
    </w:p>
    <w:p w:rsidR="00AA2302" w:rsidRDefault="00AA2302">
      <w:pPr>
        <w:pStyle w:val="ConsPlusNormal"/>
        <w:spacing w:before="220"/>
        <w:ind w:firstLine="540"/>
        <w:jc w:val="both"/>
      </w:pPr>
      <w:proofErr w:type="gramStart"/>
      <w:r>
        <w:t>Директор (заведующий) библиотеки (централизованной библиотечной системы), дома культуры, дворца культуры, клуба, музея и его заместители</w:t>
      </w:r>
      <w:proofErr w:type="gramEnd"/>
    </w:p>
    <w:p w:rsidR="00AA2302" w:rsidRDefault="00AA2302">
      <w:pPr>
        <w:pStyle w:val="ConsPlusNormal"/>
        <w:spacing w:before="220"/>
        <w:ind w:firstLine="540"/>
        <w:jc w:val="both"/>
      </w:pPr>
      <w:r>
        <w:t>Директор организационно-методического центра, дома народного творчества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Художественный руководитель клубного учреждения, дома народного творчества, организационно-методического центра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Заведующие (начальники) других отделов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 xml:space="preserve">Руководитель любительского объединения, кружка, студии, коллектива, клуба по интересам, </w:t>
      </w:r>
      <w:proofErr w:type="spellStart"/>
      <w:r>
        <w:t>культорганизатор</w:t>
      </w:r>
      <w:proofErr w:type="spellEnd"/>
    </w:p>
    <w:p w:rsidR="00AA2302" w:rsidRDefault="00AA2302">
      <w:pPr>
        <w:pStyle w:val="ConsPlusNormal"/>
        <w:spacing w:before="220"/>
        <w:ind w:firstLine="540"/>
        <w:jc w:val="both"/>
      </w:pPr>
      <w:r>
        <w:t>Артист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Аккомпаниатор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Библиотекарь, библиограф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Инструктор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Организатор экскурсий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Режиссер (балетмейстер, дирижер, хормейстер), художник-постановщик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Методист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Методист библиотеки, клубного учреждения, организационно-методического центра, дома народного творчества, музея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Киномеханик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Концертмейстер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Редактор библиотеки, клубного учреждения, музея, организационно-методического центра, дома народного творчества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Лектор, экскурсовод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Художник-фотограф, художники всех специальностей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Ассистент режиссера (дирижера, балетмейстера, хормейстера)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lastRenderedPageBreak/>
        <w:t>Научный сотрудник (включая младшего и старшего сотрудника)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Хранитель фондов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1"/>
      </w:pPr>
      <w:r>
        <w:t>МЕДИЦИНСКИЕ ОРГАНИЗАЦИИ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Руководители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Руководители организаций здравоохранения и их заместители, имеющие высшее и среднее специальное образование (медицинское, фармацевтическое)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</w:t>
      </w:r>
    </w:p>
    <w:p w:rsidR="00AA2302" w:rsidRDefault="00AA2302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Челябинской области от 29.10.2015 N 246-ЗО)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Врачи всех специальностей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Провизоры всех специальностей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Средний медицинский персонал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Средний фармацевтический персонал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Воспитатель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Старший воспитатель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Инструктор по труду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Старший вожатый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Инструктор-методист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 с высшим профессиональным образованием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Медицинский психолог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Зоолог, энтомолог, биолог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 xml:space="preserve">Эксперт-физик по </w:t>
      </w:r>
      <w:proofErr w:type="gramStart"/>
      <w:r>
        <w:t>контролю за</w:t>
      </w:r>
      <w:proofErr w:type="gramEnd"/>
      <w:r>
        <w:t xml:space="preserve"> источниками ионизирующих и неионизирующих излучений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Инструктор-методист по лечебной физкультуре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Химик-эксперт организации здравоохранения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1"/>
      </w:pPr>
      <w:r>
        <w:t>ОРГАНИЗАЦИИ СОЦИАЛЬНОГО ОБСЛУЖИВАНИЯ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Руководители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Руководители организаций социального обслуживания и их заместители, имеющие высшее и среднее специальное образование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</w:t>
      </w:r>
    </w:p>
    <w:p w:rsidR="00AA2302" w:rsidRDefault="00AA2302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29.10.2015 N 246-ЗО)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Врачи всех специальностей (включая заведующих отделениями и их заместителей)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lastRenderedPageBreak/>
        <w:t>Средний медицинский персонал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Средний фармацевтический персонал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Социальные работники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Специалист по социальной работе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Библиотекарь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 отделением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Социальный педагог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Педагог-психолог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Педагог-организатор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Воспитатель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Руководитель физического воспитания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Педагог дополнительного образования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Инструктор по труду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Учитель-логопед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Музыкальный руководитель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Педагог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Учитель-дефектолог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1"/>
      </w:pPr>
      <w:r>
        <w:t>ОБРАЗОВАТЕЛЬНЫЕ ОРГАНИЗАЦИИ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 xml:space="preserve">Методист, 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 библиотекой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Библиотекарь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Медицинские работники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1"/>
      </w:pPr>
      <w:r>
        <w:t>УЧРЕЖДЕНИЯ ВЕТЕРИНАРНОЙ СЛУЖБЫ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Руководители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Государственный инспектор, главный ветеринарный врач района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Ветеринарная служба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Руководители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lastRenderedPageBreak/>
        <w:t>Начальник ветеринарной станции, ветеринарно-санитарной станции, противоэпизоотической экспедиции, отряда, ветеринарной поликлиники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Директор лаборатории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Главный ветеринарный врач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Ветеринарный врач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Ветеринарный фельдшер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 лабораторией ветеринарно-санитарной экспертизы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 участковой ветеринарной лечебницей, ветеринарным участком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 ветеринарным пунктом, ветеринарной аптекой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Заведующий отделом, отрядом, ветеринарной лабораторией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Лаборант ветеринарной лаборатории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1"/>
      </w:pPr>
      <w:r>
        <w:t>ФИЗКУЛЬТУРНО-СПОРТИВНЫЕ ОРГАНИЗАЦИИ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Руководители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Руководители (директора) физкультурно-спортивных организаций и их заместители по учебно-воспитательной работе, имеющие высшее и среднее специальное образование (по специальности)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Старший тренер-преподаватель по спорту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Старший инструктор-методист спортивной школы, физкультурно-спортивной организации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Title"/>
        <w:jc w:val="center"/>
        <w:outlineLvl w:val="2"/>
      </w:pPr>
      <w:r>
        <w:t>Специалисты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ind w:firstLine="540"/>
        <w:jc w:val="both"/>
      </w:pPr>
      <w:r>
        <w:t>Инструктор-методист физкультурно-спортивной организации, спортивной школы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Спортсмен-инструктор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Массажист</w:t>
      </w:r>
    </w:p>
    <w:p w:rsidR="00AA2302" w:rsidRDefault="00AA2302">
      <w:pPr>
        <w:pStyle w:val="ConsPlusNormal"/>
        <w:spacing w:before="220"/>
        <w:ind w:firstLine="540"/>
        <w:jc w:val="both"/>
      </w:pPr>
      <w:r>
        <w:t>Инструктор малокалиберного, пневматического тира</w:t>
      </w: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jc w:val="both"/>
      </w:pPr>
    </w:p>
    <w:p w:rsidR="00AA2302" w:rsidRDefault="00AA2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080" w:rsidRDefault="00171080">
      <w:bookmarkStart w:id="2" w:name="_GoBack"/>
      <w:bookmarkEnd w:id="2"/>
    </w:p>
    <w:sectPr w:rsidR="00171080" w:rsidSect="0030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2"/>
    <w:rsid w:val="00171080"/>
    <w:rsid w:val="00A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E33942B8405FFBDF23219EEC738A61196FD871309BD70A1D2F99ED51075FF8A80962C6B633B49D97E1091563E13890EAC5A301AA157795315FA5Eo93CJ" TargetMode="External"/><Relationship Id="rId13" Type="http://schemas.openxmlformats.org/officeDocument/2006/relationships/hyperlink" Target="consultantplus://offline/ref=66CE33942B8405FFBDF23219EEC738A61196FD871309BD70A1D2F99ED51075FF8A80962C6B633B49D97E1091563E13890EAC5A301AA157795315FA5Eo93CJ" TargetMode="External"/><Relationship Id="rId18" Type="http://schemas.openxmlformats.org/officeDocument/2006/relationships/hyperlink" Target="consultantplus://offline/ref=66CE33942B8405FFBDF23219EEC738A61196FD87130DB474A5D8F99ED51075FF8A80962C6B633B49D97E10945A3E13890EAC5A301AA157795315FA5Eo93C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CE33942B8405FFBDF23219EEC738A61196FD87130DB474A5D8F99ED51075FF8A80962C6B633B49D97E1094553E13890EAC5A301AA157795315FA5Eo93CJ" TargetMode="External"/><Relationship Id="rId12" Type="http://schemas.openxmlformats.org/officeDocument/2006/relationships/hyperlink" Target="consultantplus://offline/ref=66CE33942B8405FFBDF23219EEC738A61196FD87130ABC7FAFD8F99ED51075FF8A80962C6B633B49D97E10975A3E13890EAC5A301AA157795315FA5Eo93CJ" TargetMode="External"/><Relationship Id="rId17" Type="http://schemas.openxmlformats.org/officeDocument/2006/relationships/hyperlink" Target="consultantplus://offline/ref=66CE33942B8405FFBDF23219EEC738A61196FD87130ABC7FAFD8F99ED51075FF8A80962C6B633B49D97E10975B3E13890EAC5A301AA157795315FA5Eo93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CE33942B8405FFBDF23219EEC738A61196FD87130DB474A5D8F99ED51075FF8A80962C6B633B49D97E1094553E13890EAC5A301AA157795315FA5Eo93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E33942B8405FFBDF23219EEC738A61196FD87130CB571A3DFF99ED51075FF8A80962C79636345D97F0E95532B45D84BoF30J" TargetMode="External"/><Relationship Id="rId11" Type="http://schemas.openxmlformats.org/officeDocument/2006/relationships/hyperlink" Target="consultantplus://offline/ref=66CE33942B8405FFBDF23219EEC738A61196FD87130ABC7FAFD8F99ED51075FF8A80962C6B633B49D97E1097553E13890EAC5A301AA157795315FA5Eo93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CE33942B8405FFBDF23219EEC738A61196FD871405BB74A1D0A494DD4979FD8D8FC9296C723B48D86011954C3747D9o433J" TargetMode="External"/><Relationship Id="rId10" Type="http://schemas.openxmlformats.org/officeDocument/2006/relationships/hyperlink" Target="consultantplus://offline/ref=66CE33942B8405FFBDF23219EEC738A61196FD87130ABC7FAFD8F99ED51075FF8A80962C6B633B49D97E1097543E13890EAC5A301AA157795315FA5Eo93CJ" TargetMode="External"/><Relationship Id="rId19" Type="http://schemas.openxmlformats.org/officeDocument/2006/relationships/hyperlink" Target="consultantplus://offline/ref=66CE33942B8405FFBDF23219EEC738A61196FD87130DB474A5D8F99ED51075FF8A80962C6B633B49D97E10955B3E13890EAC5A301AA157795315FA5Eo9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E33942B8405FFBDF23219EEC738A61196FD87130ABC7FAFD8F99ED51075FF8A80962C6B633B49D97E1097563E13890EAC5A301AA157795315FA5Eo93CJ" TargetMode="External"/><Relationship Id="rId14" Type="http://schemas.openxmlformats.org/officeDocument/2006/relationships/hyperlink" Target="consultantplus://offline/ref=66CE33942B8405FFBDF22C14F8AB67AD1B9FA28F140CB621FB8FFFC98A4073AAD8C0C87528262849D860129453o3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1979</Words>
  <Characters>11284</Characters>
  <Application>Microsoft Office Word</Application>
  <DocSecurity>0</DocSecurity>
  <Lines>94</Lines>
  <Paragraphs>26</Paragraphs>
  <ScaleCrop>false</ScaleCrop>
  <Company>Hewlett-Packard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2019-11-01T09:55:00Z</dcterms:created>
  <dcterms:modified xsi:type="dcterms:W3CDTF">2019-11-01T09:55:00Z</dcterms:modified>
</cp:coreProperties>
</file>