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2D" w:rsidRPr="001A6C55" w:rsidRDefault="00E9092D" w:rsidP="00E9092D">
      <w:pPr>
        <w:jc w:val="center"/>
        <w:rPr>
          <w:b/>
          <w:sz w:val="20"/>
          <w:szCs w:val="20"/>
        </w:rPr>
      </w:pPr>
      <w:r w:rsidRPr="001A6C55">
        <w:rPr>
          <w:b/>
          <w:sz w:val="20"/>
          <w:szCs w:val="20"/>
        </w:rPr>
        <w:t xml:space="preserve">УПРАВЛЕНИЕ </w:t>
      </w:r>
      <w:proofErr w:type="gramStart"/>
      <w:r w:rsidRPr="001A6C55">
        <w:rPr>
          <w:b/>
          <w:sz w:val="20"/>
          <w:szCs w:val="20"/>
        </w:rPr>
        <w:t>ФЕДЕРАЛЬНОЙ  СЛУЖБЫ</w:t>
      </w:r>
      <w:proofErr w:type="gramEnd"/>
      <w:r w:rsidRPr="001A6C55">
        <w:rPr>
          <w:b/>
          <w:sz w:val="20"/>
          <w:szCs w:val="20"/>
        </w:rPr>
        <w:t xml:space="preserve"> ГОСУДАРСТВЕННОЙ  РЕГИСТРАЦИИ, </w:t>
      </w:r>
    </w:p>
    <w:p w:rsidR="00E9092D" w:rsidRPr="001A6C55" w:rsidRDefault="00E9092D" w:rsidP="00E9092D">
      <w:pPr>
        <w:jc w:val="center"/>
        <w:rPr>
          <w:b/>
          <w:sz w:val="20"/>
          <w:szCs w:val="20"/>
          <w:u w:val="single"/>
        </w:rPr>
      </w:pPr>
      <w:r w:rsidRPr="001A6C55">
        <w:rPr>
          <w:b/>
          <w:sz w:val="20"/>
          <w:szCs w:val="20"/>
          <w:u w:val="single"/>
        </w:rPr>
        <w:t>КАДАСТРА И КАРТОГРАФИИ (</w:t>
      </w:r>
      <w:proofErr w:type="gramStart"/>
      <w:r w:rsidRPr="001A6C55">
        <w:rPr>
          <w:b/>
          <w:sz w:val="20"/>
          <w:szCs w:val="20"/>
          <w:u w:val="single"/>
        </w:rPr>
        <w:t>РОСРЕЕСТР)  ПО</w:t>
      </w:r>
      <w:proofErr w:type="gramEnd"/>
      <w:r w:rsidRPr="001A6C55">
        <w:rPr>
          <w:b/>
          <w:sz w:val="20"/>
          <w:szCs w:val="20"/>
          <w:u w:val="single"/>
        </w:rPr>
        <w:t xml:space="preserve"> ЧЕЛЯБИНСКОЙ ОБЛАСТИ </w:t>
      </w:r>
    </w:p>
    <w:p w:rsidR="004860E8" w:rsidRPr="004D0141" w:rsidRDefault="00E9092D" w:rsidP="004860E8">
      <w:pPr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7EC4ECF1" wp14:editId="63C2DF25">
            <wp:extent cx="1817370" cy="6759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172" cy="68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5464D">
        <w:t xml:space="preserve"> </w:t>
      </w:r>
      <w:r>
        <w:t xml:space="preserve">                                                                             </w:t>
      </w:r>
      <w:r w:rsidR="00EC00E9">
        <w:t xml:space="preserve">                       </w:t>
      </w:r>
      <w:r w:rsidR="00EC00E9" w:rsidRPr="004E42CE">
        <w:rPr>
          <w:sz w:val="27"/>
          <w:szCs w:val="27"/>
        </w:rPr>
        <w:t xml:space="preserve"> </w:t>
      </w:r>
      <w:r w:rsidRPr="004E42CE">
        <w:rPr>
          <w:sz w:val="27"/>
          <w:szCs w:val="27"/>
        </w:rPr>
        <w:t xml:space="preserve"> </w:t>
      </w:r>
      <w:r w:rsidR="004860E8">
        <w:rPr>
          <w:sz w:val="28"/>
          <w:szCs w:val="28"/>
        </w:rPr>
        <w:t>февраль</w:t>
      </w:r>
      <w:r w:rsidR="004860E8" w:rsidRPr="004D0141">
        <w:rPr>
          <w:sz w:val="28"/>
          <w:szCs w:val="28"/>
        </w:rPr>
        <w:t>.2022</w:t>
      </w:r>
    </w:p>
    <w:p w:rsidR="0041166C" w:rsidRDefault="0041166C" w:rsidP="00107B21">
      <w:pPr>
        <w:rPr>
          <w:sz w:val="27"/>
          <w:szCs w:val="27"/>
        </w:rPr>
      </w:pPr>
    </w:p>
    <w:p w:rsidR="0055396C" w:rsidRPr="004E42CE" w:rsidRDefault="0055396C" w:rsidP="00107B21">
      <w:pPr>
        <w:rPr>
          <w:sz w:val="27"/>
          <w:szCs w:val="27"/>
        </w:rPr>
      </w:pPr>
    </w:p>
    <w:p w:rsidR="00661781" w:rsidRPr="004A68F4" w:rsidRDefault="005E40A9" w:rsidP="00661781">
      <w:pPr>
        <w:jc w:val="center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>О</w:t>
      </w:r>
      <w:r w:rsidR="002667A3">
        <w:rPr>
          <w:b/>
          <w:color w:val="0070C0"/>
          <w:sz w:val="26"/>
          <w:szCs w:val="26"/>
        </w:rPr>
        <w:t xml:space="preserve"> совместной собственности супругов</w:t>
      </w:r>
    </w:p>
    <w:p w:rsidR="0041166C" w:rsidRPr="001A6C55" w:rsidRDefault="0041166C" w:rsidP="0041166C">
      <w:pPr>
        <w:ind w:firstLine="708"/>
        <w:jc w:val="both"/>
        <w:rPr>
          <w:sz w:val="26"/>
          <w:szCs w:val="26"/>
        </w:rPr>
      </w:pPr>
    </w:p>
    <w:p w:rsidR="002F394F" w:rsidRDefault="002667A3" w:rsidP="002F394F">
      <w:pPr>
        <w:ind w:firstLine="567"/>
        <w:jc w:val="both"/>
        <w:rPr>
          <w:b/>
          <w:sz w:val="26"/>
          <w:szCs w:val="26"/>
        </w:rPr>
      </w:pPr>
      <w:r w:rsidRPr="002667A3">
        <w:rPr>
          <w:b/>
          <w:sz w:val="26"/>
          <w:szCs w:val="26"/>
        </w:rPr>
        <w:t xml:space="preserve">Управление Росреестра по Челябинской области продолжает цикл разъяснительных публикаций, подготовленных на основе </w:t>
      </w:r>
      <w:r w:rsidR="00A05346">
        <w:rPr>
          <w:b/>
          <w:sz w:val="26"/>
          <w:szCs w:val="26"/>
        </w:rPr>
        <w:t>обращений</w:t>
      </w:r>
      <w:r w:rsidRPr="002667A3">
        <w:rPr>
          <w:b/>
          <w:sz w:val="26"/>
          <w:szCs w:val="26"/>
        </w:rPr>
        <w:t xml:space="preserve"> южноуральцев. </w:t>
      </w:r>
      <w:r w:rsidR="004860E8">
        <w:rPr>
          <w:b/>
          <w:sz w:val="26"/>
          <w:szCs w:val="26"/>
        </w:rPr>
        <w:t xml:space="preserve">На этот </w:t>
      </w:r>
      <w:bookmarkStart w:id="0" w:name="_GoBack"/>
      <w:bookmarkEnd w:id="0"/>
      <w:r w:rsidR="004860E8">
        <w:rPr>
          <w:b/>
          <w:sz w:val="26"/>
          <w:szCs w:val="26"/>
        </w:rPr>
        <w:t>раз речь</w:t>
      </w:r>
      <w:r>
        <w:rPr>
          <w:b/>
          <w:sz w:val="26"/>
          <w:szCs w:val="26"/>
        </w:rPr>
        <w:t xml:space="preserve"> пойдет о</w:t>
      </w:r>
      <w:r w:rsidR="00A05346">
        <w:rPr>
          <w:b/>
          <w:sz w:val="26"/>
          <w:szCs w:val="26"/>
        </w:rPr>
        <w:t xml:space="preserve"> совместной собственности супругов.</w:t>
      </w:r>
      <w:r>
        <w:rPr>
          <w:b/>
          <w:sz w:val="26"/>
          <w:szCs w:val="26"/>
        </w:rPr>
        <w:t xml:space="preserve"> </w:t>
      </w:r>
      <w:r w:rsidR="005E40A9">
        <w:rPr>
          <w:b/>
          <w:sz w:val="26"/>
          <w:szCs w:val="26"/>
        </w:rPr>
        <w:t>В частности</w:t>
      </w:r>
      <w:r w:rsidRPr="002667A3">
        <w:rPr>
          <w:b/>
          <w:sz w:val="26"/>
          <w:szCs w:val="26"/>
        </w:rPr>
        <w:t xml:space="preserve">, </w:t>
      </w:r>
      <w:r w:rsidR="00A05346">
        <w:rPr>
          <w:b/>
          <w:sz w:val="26"/>
          <w:szCs w:val="26"/>
        </w:rPr>
        <w:t xml:space="preserve">ответим на </w:t>
      </w:r>
      <w:r w:rsidRPr="002667A3">
        <w:rPr>
          <w:b/>
          <w:sz w:val="26"/>
          <w:szCs w:val="26"/>
        </w:rPr>
        <w:t>вопрос, касающийся необходимости представления на государственную регистрацию согласия супруга продавца при заключении договора купли-продажи квартиры.</w:t>
      </w:r>
    </w:p>
    <w:p w:rsidR="002667A3" w:rsidRDefault="002667A3" w:rsidP="002F394F">
      <w:pPr>
        <w:ind w:firstLine="567"/>
        <w:jc w:val="both"/>
        <w:rPr>
          <w:color w:val="292C2F"/>
          <w:sz w:val="26"/>
          <w:szCs w:val="26"/>
        </w:rPr>
      </w:pPr>
    </w:p>
    <w:p w:rsidR="002667A3" w:rsidRDefault="002667A3" w:rsidP="00A05346">
      <w:pPr>
        <w:ind w:firstLine="567"/>
        <w:jc w:val="both"/>
        <w:rPr>
          <w:color w:val="292C2F"/>
          <w:sz w:val="26"/>
          <w:szCs w:val="26"/>
        </w:rPr>
      </w:pPr>
      <w:r w:rsidRPr="002667A3">
        <w:rPr>
          <w:color w:val="292C2F"/>
          <w:sz w:val="26"/>
          <w:szCs w:val="26"/>
        </w:rPr>
        <w:t xml:space="preserve">Управление Росреестра по Челябинской области </w:t>
      </w:r>
      <w:r w:rsidR="00A05346">
        <w:rPr>
          <w:color w:val="292C2F"/>
          <w:sz w:val="26"/>
          <w:szCs w:val="26"/>
        </w:rPr>
        <w:t xml:space="preserve">напоминает, в соответствии с </w:t>
      </w:r>
      <w:r w:rsidRPr="002667A3">
        <w:rPr>
          <w:color w:val="292C2F"/>
          <w:sz w:val="26"/>
          <w:szCs w:val="26"/>
        </w:rPr>
        <w:t>Гражданск</w:t>
      </w:r>
      <w:r w:rsidR="00A05346">
        <w:rPr>
          <w:color w:val="292C2F"/>
          <w:sz w:val="26"/>
          <w:szCs w:val="26"/>
        </w:rPr>
        <w:t>им</w:t>
      </w:r>
      <w:r w:rsidRPr="002667A3">
        <w:rPr>
          <w:color w:val="292C2F"/>
          <w:sz w:val="26"/>
          <w:szCs w:val="26"/>
        </w:rPr>
        <w:t xml:space="preserve"> кодекс</w:t>
      </w:r>
      <w:r w:rsidR="00A05346">
        <w:rPr>
          <w:color w:val="292C2F"/>
          <w:sz w:val="26"/>
          <w:szCs w:val="26"/>
        </w:rPr>
        <w:t>ом</w:t>
      </w:r>
      <w:r w:rsidR="0012548B">
        <w:rPr>
          <w:color w:val="292C2F"/>
          <w:sz w:val="26"/>
          <w:szCs w:val="26"/>
        </w:rPr>
        <w:t xml:space="preserve"> Российской Федерации </w:t>
      </w:r>
      <w:r w:rsidRPr="002667A3">
        <w:rPr>
          <w:color w:val="292C2F"/>
          <w:sz w:val="26"/>
          <w:szCs w:val="26"/>
        </w:rPr>
        <w:t>установлено, что имущество может находиться в общей собственности с определением доли каждого из собственников в праве собственности (</w:t>
      </w:r>
      <w:r w:rsidR="00A05346">
        <w:rPr>
          <w:color w:val="292C2F"/>
          <w:sz w:val="26"/>
          <w:szCs w:val="26"/>
        </w:rPr>
        <w:t xml:space="preserve">т.е. </w:t>
      </w:r>
      <w:r w:rsidRPr="002667A3">
        <w:rPr>
          <w:color w:val="292C2F"/>
          <w:sz w:val="26"/>
          <w:szCs w:val="26"/>
        </w:rPr>
        <w:t>долевая собственность) или без определения таких долей (совместная собственность).</w:t>
      </w:r>
      <w:r w:rsidR="00A05346">
        <w:rPr>
          <w:color w:val="292C2F"/>
          <w:sz w:val="26"/>
          <w:szCs w:val="26"/>
        </w:rPr>
        <w:t xml:space="preserve"> </w:t>
      </w:r>
      <w:r w:rsidR="006560F8">
        <w:rPr>
          <w:color w:val="292C2F"/>
          <w:sz w:val="26"/>
          <w:szCs w:val="26"/>
        </w:rPr>
        <w:t>В Семейном кодексе</w:t>
      </w:r>
      <w:r w:rsidR="006560F8" w:rsidRPr="006560F8">
        <w:rPr>
          <w:color w:val="292C2F"/>
          <w:sz w:val="26"/>
          <w:szCs w:val="26"/>
        </w:rPr>
        <w:t xml:space="preserve"> Российской Федерации </w:t>
      </w:r>
      <w:r w:rsidR="006560F8">
        <w:rPr>
          <w:color w:val="292C2F"/>
          <w:sz w:val="26"/>
          <w:szCs w:val="26"/>
        </w:rPr>
        <w:t>прописано, что с</w:t>
      </w:r>
      <w:r w:rsidRPr="002667A3">
        <w:rPr>
          <w:color w:val="292C2F"/>
          <w:sz w:val="26"/>
          <w:szCs w:val="26"/>
        </w:rPr>
        <w:t>овместной собственностью является имущество, нажитое супругами во время брака</w:t>
      </w:r>
      <w:r w:rsidR="00A05346">
        <w:rPr>
          <w:color w:val="292C2F"/>
          <w:sz w:val="26"/>
          <w:szCs w:val="26"/>
        </w:rPr>
        <w:t>. П</w:t>
      </w:r>
      <w:r w:rsidR="0004316B">
        <w:rPr>
          <w:color w:val="292C2F"/>
          <w:sz w:val="26"/>
          <w:szCs w:val="26"/>
        </w:rPr>
        <w:t>ри этом п</w:t>
      </w:r>
      <w:r w:rsidR="00A05346">
        <w:rPr>
          <w:color w:val="292C2F"/>
          <w:sz w:val="26"/>
          <w:szCs w:val="26"/>
        </w:rPr>
        <w:t xml:space="preserve">редполагается, что </w:t>
      </w:r>
      <w:r w:rsidRPr="002667A3">
        <w:rPr>
          <w:color w:val="292C2F"/>
          <w:sz w:val="26"/>
          <w:szCs w:val="26"/>
        </w:rPr>
        <w:t>при совершении одним из супругов сделки по распоряжению общим имуществом супруг</w:t>
      </w:r>
      <w:r w:rsidR="00A05346">
        <w:rPr>
          <w:color w:val="292C2F"/>
          <w:sz w:val="26"/>
          <w:szCs w:val="26"/>
        </w:rPr>
        <w:t xml:space="preserve">ов, </w:t>
      </w:r>
      <w:r w:rsidRPr="002667A3">
        <w:rPr>
          <w:color w:val="292C2F"/>
          <w:sz w:val="26"/>
          <w:szCs w:val="26"/>
        </w:rPr>
        <w:t>он действует с согласия другого супруга.</w:t>
      </w:r>
      <w:r w:rsidR="00A05346">
        <w:rPr>
          <w:color w:val="292C2F"/>
          <w:sz w:val="26"/>
          <w:szCs w:val="26"/>
        </w:rPr>
        <w:t xml:space="preserve"> Однако в установленных законом случаях </w:t>
      </w:r>
      <w:r w:rsidR="00AA16C1">
        <w:rPr>
          <w:color w:val="292C2F"/>
          <w:sz w:val="26"/>
          <w:szCs w:val="26"/>
        </w:rPr>
        <w:t>необходимо</w:t>
      </w:r>
      <w:r w:rsidR="00A05346">
        <w:rPr>
          <w:color w:val="292C2F"/>
          <w:sz w:val="26"/>
          <w:szCs w:val="26"/>
        </w:rPr>
        <w:t xml:space="preserve"> </w:t>
      </w:r>
      <w:r w:rsidRPr="002667A3">
        <w:rPr>
          <w:color w:val="292C2F"/>
          <w:sz w:val="26"/>
          <w:szCs w:val="26"/>
        </w:rPr>
        <w:t>получени</w:t>
      </w:r>
      <w:r w:rsidR="00AA16C1">
        <w:rPr>
          <w:color w:val="292C2F"/>
          <w:sz w:val="26"/>
          <w:szCs w:val="26"/>
        </w:rPr>
        <w:t>е</w:t>
      </w:r>
      <w:r w:rsidRPr="002667A3">
        <w:rPr>
          <w:color w:val="292C2F"/>
          <w:sz w:val="26"/>
          <w:szCs w:val="26"/>
        </w:rPr>
        <w:t xml:space="preserve"> нотариально удостоверенного согласия другого супруга для совершения одним из супругов сделки по распоряжению недвижимостью и сделки, </w:t>
      </w:r>
      <w:r w:rsidR="00AA16C1">
        <w:rPr>
          <w:color w:val="292C2F"/>
          <w:sz w:val="26"/>
          <w:szCs w:val="26"/>
        </w:rPr>
        <w:t>которая требует</w:t>
      </w:r>
      <w:r w:rsidRPr="002667A3">
        <w:rPr>
          <w:color w:val="292C2F"/>
          <w:sz w:val="26"/>
          <w:szCs w:val="26"/>
        </w:rPr>
        <w:t xml:space="preserve"> нотариального удостоверения и (или) регистрации в установленном законом порядке.</w:t>
      </w:r>
      <w:r w:rsidR="00AA16C1">
        <w:rPr>
          <w:color w:val="292C2F"/>
          <w:sz w:val="26"/>
          <w:szCs w:val="26"/>
        </w:rPr>
        <w:t xml:space="preserve"> Например, при государственной регистрации д</w:t>
      </w:r>
      <w:r w:rsidR="00AA16C1" w:rsidRPr="00AA16C1">
        <w:rPr>
          <w:color w:val="292C2F"/>
          <w:sz w:val="26"/>
          <w:szCs w:val="26"/>
        </w:rPr>
        <w:t>оговор</w:t>
      </w:r>
      <w:r w:rsidR="00AA16C1">
        <w:rPr>
          <w:color w:val="292C2F"/>
          <w:sz w:val="26"/>
          <w:szCs w:val="26"/>
        </w:rPr>
        <w:t>а</w:t>
      </w:r>
      <w:r w:rsidR="00AA16C1" w:rsidRPr="00AA16C1">
        <w:rPr>
          <w:color w:val="292C2F"/>
          <w:sz w:val="26"/>
          <w:szCs w:val="26"/>
        </w:rPr>
        <w:t xml:space="preserve"> об уступке прав требований по договору участия в долевом строительстве</w:t>
      </w:r>
      <w:r w:rsidR="00AA16C1">
        <w:rPr>
          <w:color w:val="292C2F"/>
          <w:sz w:val="26"/>
          <w:szCs w:val="26"/>
        </w:rPr>
        <w:t>.</w:t>
      </w:r>
    </w:p>
    <w:p w:rsidR="002667A3" w:rsidRPr="002667A3" w:rsidRDefault="00AA16C1" w:rsidP="005E40A9">
      <w:pPr>
        <w:ind w:firstLine="567"/>
        <w:jc w:val="both"/>
        <w:rPr>
          <w:color w:val="292C2F"/>
          <w:sz w:val="26"/>
          <w:szCs w:val="26"/>
        </w:rPr>
      </w:pPr>
      <w:r>
        <w:rPr>
          <w:color w:val="292C2F"/>
          <w:sz w:val="26"/>
          <w:szCs w:val="26"/>
        </w:rPr>
        <w:t>Наиболее часто задаваемый вопрос</w:t>
      </w:r>
      <w:r w:rsidR="005E40A9">
        <w:rPr>
          <w:color w:val="292C2F"/>
          <w:sz w:val="26"/>
          <w:szCs w:val="26"/>
        </w:rPr>
        <w:t xml:space="preserve"> </w:t>
      </w:r>
      <w:r w:rsidR="0012548B">
        <w:rPr>
          <w:color w:val="292C2F"/>
          <w:sz w:val="26"/>
          <w:szCs w:val="26"/>
        </w:rPr>
        <w:t xml:space="preserve">по теме </w:t>
      </w:r>
      <w:r w:rsidR="005E40A9">
        <w:rPr>
          <w:color w:val="292C2F"/>
          <w:sz w:val="26"/>
          <w:szCs w:val="26"/>
        </w:rPr>
        <w:t xml:space="preserve">– нужно </w:t>
      </w:r>
      <w:r w:rsidR="0012548B">
        <w:rPr>
          <w:color w:val="292C2F"/>
          <w:sz w:val="26"/>
          <w:szCs w:val="26"/>
        </w:rPr>
        <w:t>ли пред</w:t>
      </w:r>
      <w:r w:rsidR="005E40A9">
        <w:rPr>
          <w:color w:val="292C2F"/>
          <w:sz w:val="26"/>
          <w:szCs w:val="26"/>
        </w:rPr>
        <w:t xml:space="preserve">ставлять </w:t>
      </w:r>
      <w:r w:rsidR="0012548B">
        <w:rPr>
          <w:color w:val="292C2F"/>
          <w:sz w:val="26"/>
          <w:szCs w:val="26"/>
        </w:rPr>
        <w:t xml:space="preserve">в регистрирующий орган </w:t>
      </w:r>
      <w:r w:rsidR="005E40A9">
        <w:rPr>
          <w:color w:val="292C2F"/>
          <w:sz w:val="26"/>
          <w:szCs w:val="26"/>
        </w:rPr>
        <w:t>согласие супруга на отчуждение объекта недвижимого имущества</w:t>
      </w:r>
      <w:r w:rsidR="0012548B">
        <w:rPr>
          <w:color w:val="292C2F"/>
          <w:sz w:val="26"/>
          <w:szCs w:val="26"/>
        </w:rPr>
        <w:t xml:space="preserve">. </w:t>
      </w:r>
      <w:r w:rsidR="005E40A9">
        <w:rPr>
          <w:color w:val="292C2F"/>
          <w:sz w:val="26"/>
          <w:szCs w:val="26"/>
        </w:rPr>
        <w:t xml:space="preserve"> </w:t>
      </w:r>
      <w:r w:rsidR="0012548B" w:rsidRPr="0012548B">
        <w:rPr>
          <w:sz w:val="26"/>
          <w:szCs w:val="26"/>
        </w:rPr>
        <w:t>В частности,</w:t>
      </w:r>
      <w:r w:rsidR="0012548B">
        <w:rPr>
          <w:b/>
          <w:sz w:val="26"/>
          <w:szCs w:val="26"/>
        </w:rPr>
        <w:t xml:space="preserve"> </w:t>
      </w:r>
      <w:r w:rsidR="0012548B" w:rsidRPr="0012548B">
        <w:rPr>
          <w:sz w:val="26"/>
          <w:szCs w:val="26"/>
        </w:rPr>
        <w:t>при</w:t>
      </w:r>
      <w:r w:rsidR="0012548B">
        <w:rPr>
          <w:b/>
          <w:sz w:val="26"/>
          <w:szCs w:val="26"/>
        </w:rPr>
        <w:t xml:space="preserve"> </w:t>
      </w:r>
      <w:r w:rsidR="0012548B">
        <w:rPr>
          <w:color w:val="292C2F"/>
          <w:sz w:val="26"/>
          <w:szCs w:val="26"/>
        </w:rPr>
        <w:t>продаже</w:t>
      </w:r>
      <w:r w:rsidR="005E40A9">
        <w:rPr>
          <w:color w:val="292C2F"/>
          <w:sz w:val="26"/>
          <w:szCs w:val="26"/>
        </w:rPr>
        <w:t xml:space="preserve"> квартиры. </w:t>
      </w:r>
      <w:r w:rsidR="002667A3" w:rsidRPr="002667A3">
        <w:rPr>
          <w:color w:val="292C2F"/>
          <w:sz w:val="26"/>
          <w:szCs w:val="26"/>
        </w:rPr>
        <w:t>Как следует из ответа специалистов Управления Росреестра, отсутствие согласия супруга на совершение другим супругом сделки по распоряжению их общим недвижимым имуществом (то есть приобретенным в период брака) не является основанием для приостановления государственной регистрации и отказа в ее осуществлении</w:t>
      </w:r>
      <w:r w:rsidR="005E40A9">
        <w:rPr>
          <w:color w:val="292C2F"/>
          <w:sz w:val="26"/>
          <w:szCs w:val="26"/>
        </w:rPr>
        <w:t>. Однако</w:t>
      </w:r>
      <w:r w:rsidR="002667A3" w:rsidRPr="002667A3">
        <w:rPr>
          <w:color w:val="292C2F"/>
          <w:sz w:val="26"/>
          <w:szCs w:val="26"/>
        </w:rPr>
        <w:t xml:space="preserve"> </w:t>
      </w:r>
      <w:r w:rsidR="0012548B">
        <w:rPr>
          <w:color w:val="292C2F"/>
          <w:sz w:val="26"/>
          <w:szCs w:val="26"/>
        </w:rPr>
        <w:t xml:space="preserve">следует помнить, что </w:t>
      </w:r>
      <w:r w:rsidR="002667A3" w:rsidRPr="002667A3">
        <w:rPr>
          <w:color w:val="292C2F"/>
          <w:sz w:val="26"/>
          <w:szCs w:val="26"/>
        </w:rPr>
        <w:t>одновременно с внесением записи о госрегистрации такой сделки в Единый государственный реестр недвижимости (ЕГРН) будет внесена запись об отсутс</w:t>
      </w:r>
      <w:r w:rsidR="006560F8">
        <w:rPr>
          <w:color w:val="292C2F"/>
          <w:sz w:val="26"/>
          <w:szCs w:val="26"/>
        </w:rPr>
        <w:t xml:space="preserve">твии документа согласия </w:t>
      </w:r>
      <w:r w:rsidR="002667A3" w:rsidRPr="002667A3">
        <w:rPr>
          <w:color w:val="292C2F"/>
          <w:sz w:val="26"/>
          <w:szCs w:val="26"/>
        </w:rPr>
        <w:t>второго супруга.</w:t>
      </w:r>
    </w:p>
    <w:p w:rsidR="002667A3" w:rsidRPr="002667A3" w:rsidRDefault="002667A3" w:rsidP="002667A3">
      <w:pPr>
        <w:ind w:firstLine="567"/>
        <w:jc w:val="both"/>
        <w:rPr>
          <w:color w:val="292C2F"/>
          <w:sz w:val="26"/>
          <w:szCs w:val="26"/>
        </w:rPr>
      </w:pPr>
      <w:r w:rsidRPr="002667A3">
        <w:rPr>
          <w:color w:val="292C2F"/>
          <w:sz w:val="26"/>
          <w:szCs w:val="26"/>
        </w:rPr>
        <w:t xml:space="preserve">Необходимо учитывать, что сделка, совершенная в подобной ситуации одним из супругов по распоряжению их общим имуществом, является оспоримой. </w:t>
      </w:r>
      <w:r w:rsidR="005E40A9">
        <w:rPr>
          <w:color w:val="292C2F"/>
          <w:sz w:val="26"/>
          <w:szCs w:val="26"/>
        </w:rPr>
        <w:t>Таким образом</w:t>
      </w:r>
      <w:r w:rsidR="006560F8">
        <w:rPr>
          <w:color w:val="292C2F"/>
          <w:sz w:val="26"/>
          <w:szCs w:val="26"/>
        </w:rPr>
        <w:t>,</w:t>
      </w:r>
      <w:r w:rsidRPr="002667A3">
        <w:rPr>
          <w:color w:val="292C2F"/>
          <w:sz w:val="26"/>
          <w:szCs w:val="26"/>
        </w:rPr>
        <w:t xml:space="preserve"> супруг, чье нотариально удостоверенное согласие на совершение указанной сделки не было получено, вправе требовать признания её недействительной в судебном порядке в течение года со дня, когда он узнал или должен был узнать о её совершении. Суд признает сделку недействительной только в случае, если будет доказано, что заявитель при подаче документов на госрегистрацию знал или заведомо должен был знать о несогласии другого супруга на совершение данной сделки.</w:t>
      </w:r>
    </w:p>
    <w:p w:rsidR="002667A3" w:rsidRDefault="005E40A9" w:rsidP="002667A3">
      <w:pPr>
        <w:ind w:firstLine="567"/>
        <w:jc w:val="both"/>
        <w:rPr>
          <w:color w:val="292C2F"/>
          <w:sz w:val="26"/>
          <w:szCs w:val="26"/>
        </w:rPr>
      </w:pPr>
      <w:r>
        <w:rPr>
          <w:color w:val="292C2F"/>
          <w:sz w:val="26"/>
          <w:szCs w:val="26"/>
        </w:rPr>
        <w:t>Зная это</w:t>
      </w:r>
      <w:r w:rsidR="002667A3" w:rsidRPr="002667A3">
        <w:rPr>
          <w:color w:val="292C2F"/>
          <w:sz w:val="26"/>
          <w:szCs w:val="26"/>
        </w:rPr>
        <w:t>, в случае покупки объекта недвижимости у человека, состоящего в браке (или состоявшего на момент приобретения этой недвижимости), нелишним будет убедиться в наличии письменного согласия на сделку второго супруга.</w:t>
      </w:r>
    </w:p>
    <w:p w:rsidR="002667A3" w:rsidRPr="002F394F" w:rsidRDefault="002667A3" w:rsidP="002F394F">
      <w:pPr>
        <w:ind w:firstLine="567"/>
        <w:jc w:val="both"/>
        <w:rPr>
          <w:color w:val="292C2F"/>
          <w:sz w:val="26"/>
          <w:szCs w:val="26"/>
        </w:rPr>
      </w:pPr>
    </w:p>
    <w:p w:rsidR="0041166C" w:rsidRPr="00B62212" w:rsidRDefault="0041166C" w:rsidP="00B62212">
      <w:pPr>
        <w:ind w:firstLine="708"/>
        <w:jc w:val="right"/>
        <w:rPr>
          <w:i/>
          <w:sz w:val="28"/>
          <w:szCs w:val="28"/>
        </w:rPr>
      </w:pPr>
      <w:r w:rsidRPr="00B62212">
        <w:rPr>
          <w:i/>
          <w:iCs/>
          <w:sz w:val="28"/>
          <w:szCs w:val="28"/>
        </w:rPr>
        <w:t>Пресс-служба Росреестра и Кадастровой палаты</w:t>
      </w:r>
      <w:r w:rsidR="00B62212" w:rsidRPr="00B62212">
        <w:rPr>
          <w:i/>
          <w:iCs/>
          <w:sz w:val="28"/>
          <w:szCs w:val="28"/>
        </w:rPr>
        <w:t xml:space="preserve"> </w:t>
      </w:r>
      <w:r w:rsidRPr="00B62212">
        <w:rPr>
          <w:i/>
          <w:iCs/>
          <w:sz w:val="28"/>
          <w:szCs w:val="28"/>
        </w:rPr>
        <w:t>Челябинской области</w:t>
      </w:r>
    </w:p>
    <w:sectPr w:rsidR="0041166C" w:rsidRPr="00B62212" w:rsidSect="004E42CE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86AA6"/>
    <w:multiLevelType w:val="hybridMultilevel"/>
    <w:tmpl w:val="87006C6E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64"/>
    <w:rsid w:val="0004316B"/>
    <w:rsid w:val="00105D8B"/>
    <w:rsid w:val="00107B21"/>
    <w:rsid w:val="0012548B"/>
    <w:rsid w:val="001630A1"/>
    <w:rsid w:val="00182CDC"/>
    <w:rsid w:val="00183D4C"/>
    <w:rsid w:val="001A01D9"/>
    <w:rsid w:val="001A6C55"/>
    <w:rsid w:val="001B1433"/>
    <w:rsid w:val="001E25B3"/>
    <w:rsid w:val="00236A9F"/>
    <w:rsid w:val="00252284"/>
    <w:rsid w:val="002667A3"/>
    <w:rsid w:val="00267E6E"/>
    <w:rsid w:val="002F394F"/>
    <w:rsid w:val="00331D46"/>
    <w:rsid w:val="00396686"/>
    <w:rsid w:val="003B7054"/>
    <w:rsid w:val="003C01D9"/>
    <w:rsid w:val="003F7C6E"/>
    <w:rsid w:val="0041166C"/>
    <w:rsid w:val="004242EC"/>
    <w:rsid w:val="00453F9A"/>
    <w:rsid w:val="004860E8"/>
    <w:rsid w:val="004A68F4"/>
    <w:rsid w:val="004E42CE"/>
    <w:rsid w:val="00510ADF"/>
    <w:rsid w:val="00525540"/>
    <w:rsid w:val="0053151D"/>
    <w:rsid w:val="00545FBA"/>
    <w:rsid w:val="00550A19"/>
    <w:rsid w:val="0055116F"/>
    <w:rsid w:val="005524D9"/>
    <w:rsid w:val="0055396C"/>
    <w:rsid w:val="00553AAC"/>
    <w:rsid w:val="00555DAB"/>
    <w:rsid w:val="00562255"/>
    <w:rsid w:val="005E40A9"/>
    <w:rsid w:val="006050AA"/>
    <w:rsid w:val="0062631A"/>
    <w:rsid w:val="00651317"/>
    <w:rsid w:val="006560F8"/>
    <w:rsid w:val="0066014D"/>
    <w:rsid w:val="00661781"/>
    <w:rsid w:val="00674960"/>
    <w:rsid w:val="00694030"/>
    <w:rsid w:val="0070078E"/>
    <w:rsid w:val="00763CD0"/>
    <w:rsid w:val="007744A4"/>
    <w:rsid w:val="007B4774"/>
    <w:rsid w:val="008412C8"/>
    <w:rsid w:val="00845D90"/>
    <w:rsid w:val="008616DD"/>
    <w:rsid w:val="00895699"/>
    <w:rsid w:val="008A5DEA"/>
    <w:rsid w:val="008A6707"/>
    <w:rsid w:val="008D2AA1"/>
    <w:rsid w:val="008D4568"/>
    <w:rsid w:val="008D4BBE"/>
    <w:rsid w:val="008F26AD"/>
    <w:rsid w:val="00905575"/>
    <w:rsid w:val="009128EF"/>
    <w:rsid w:val="009C2240"/>
    <w:rsid w:val="00A05346"/>
    <w:rsid w:val="00A24A65"/>
    <w:rsid w:val="00A54EA5"/>
    <w:rsid w:val="00A91D86"/>
    <w:rsid w:val="00AA0C71"/>
    <w:rsid w:val="00AA16C1"/>
    <w:rsid w:val="00AB2EB6"/>
    <w:rsid w:val="00AD4EB2"/>
    <w:rsid w:val="00B62212"/>
    <w:rsid w:val="00B7300C"/>
    <w:rsid w:val="00B81B87"/>
    <w:rsid w:val="00B946EF"/>
    <w:rsid w:val="00BA1D25"/>
    <w:rsid w:val="00BB7BB0"/>
    <w:rsid w:val="00C4151A"/>
    <w:rsid w:val="00CD169B"/>
    <w:rsid w:val="00D350F5"/>
    <w:rsid w:val="00D3773B"/>
    <w:rsid w:val="00D632AB"/>
    <w:rsid w:val="00D955BA"/>
    <w:rsid w:val="00E276AA"/>
    <w:rsid w:val="00E87007"/>
    <w:rsid w:val="00E9092D"/>
    <w:rsid w:val="00EC00E9"/>
    <w:rsid w:val="00F22D16"/>
    <w:rsid w:val="00F64464"/>
    <w:rsid w:val="00F923A8"/>
    <w:rsid w:val="00FB2422"/>
    <w:rsid w:val="00FC1DF4"/>
    <w:rsid w:val="00F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3ABA5-CA64-4CCC-9D35-B3352B8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2A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16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2C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8412C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116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2A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B946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01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01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0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83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3842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2022-02-10T06:21:00Z</cp:lastPrinted>
  <dcterms:created xsi:type="dcterms:W3CDTF">2022-01-13T09:05:00Z</dcterms:created>
  <dcterms:modified xsi:type="dcterms:W3CDTF">2022-02-17T07:53:00Z</dcterms:modified>
</cp:coreProperties>
</file>