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10. </w:t>
      </w: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 установлении ставки ввозной таможенной пошлины Таможенного союза на некоторые товары</w:t>
      </w:r>
    </w:p>
    <w:bookmarkEnd w:id="0"/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С 29.11.2024 Решением Совета Евразийской экономической комиссии от 18.10.2024 № 104 "Об установлении ставки ввозной таможенной пошлины Единого таможенного тарифа Евразийского экономического союза в отношении вискозных волокон искусственных, не подвергнутых </w:t>
      </w:r>
      <w:proofErr w:type="spellStart"/>
      <w:r w:rsidRPr="00150944">
        <w:rPr>
          <w:rFonts w:ascii="Times New Roman" w:hAnsi="Times New Roman" w:cs="Times New Roman"/>
          <w:color w:val="000000"/>
          <w:sz w:val="28"/>
          <w:szCs w:val="28"/>
        </w:rPr>
        <w:t>кардо</w:t>
      </w:r>
      <w:proofErr w:type="spellEnd"/>
      <w:r w:rsidRPr="00150944">
        <w:rPr>
          <w:rFonts w:ascii="Times New Roman" w:hAnsi="Times New Roman" w:cs="Times New Roman"/>
          <w:color w:val="000000"/>
          <w:sz w:val="28"/>
          <w:szCs w:val="28"/>
        </w:rPr>
        <w:t>-, гребнечесанию или другой подготовке для прядения" устанавливается ставка ввозной налоговой пошлины Единого таможенного тарифа ЕЭС в размере 0 процентов от таможенной стоимости.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устанавливает данную ставку в отношении вискозных волокон искусственных, не подвергнутых </w:t>
      </w:r>
      <w:proofErr w:type="spellStart"/>
      <w:r w:rsidRPr="00150944">
        <w:rPr>
          <w:rFonts w:ascii="Times New Roman" w:hAnsi="Times New Roman" w:cs="Times New Roman"/>
          <w:color w:val="000000"/>
          <w:sz w:val="28"/>
          <w:szCs w:val="28"/>
        </w:rPr>
        <w:t>кардо</w:t>
      </w:r>
      <w:proofErr w:type="spellEnd"/>
      <w:r w:rsidRPr="00150944">
        <w:rPr>
          <w:rFonts w:ascii="Times New Roman" w:hAnsi="Times New Roman" w:cs="Times New Roman"/>
          <w:color w:val="000000"/>
          <w:sz w:val="28"/>
          <w:szCs w:val="28"/>
        </w:rPr>
        <w:t>-, гребнечесанию или другой подготовке для прядения.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Срок действия документа - до 30 сентября 2027 г.</w:t>
      </w:r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462711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2024-12-19T11:52:00Z</dcterms:created>
  <dcterms:modified xsi:type="dcterms:W3CDTF">2024-12-19T11:52:00Z</dcterms:modified>
</cp:coreProperties>
</file>