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93980</wp:posOffset>
            </wp:positionH>
            <wp:positionV relativeFrom="paragraph">
              <wp:posOffset>-35560</wp:posOffset>
            </wp:positionV>
            <wp:extent cx="1839595" cy="6870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Запросы на сведения о недвижимости россиян выросли на треть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Федеральная кадастровая палата рассказала о количестве запрашиваемых сведений из госреестра за 2019 год. Всего в 2019 году Кадастровая палата выдала 103 млн выписок из ЕГРН. Это на треть больше относительно количества запрашиваемых сведений за 2018 год.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 всего объема предоставленных сведений, более 96 млн было представлено в электронном виде. Для сравнения, в 2018 году всего было представлено 79 млн выписок - из них в электронном виде было представлено 70 млн выписок.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Самой популярной, по-прежнему, остаётся выписка о правах отдельного лица на имеющиеся у него объекты недвижимости: за 2019 год было выдано около 45 млн таких выписок. Выписка об основных характеристиках и зарегистрированных правах на объект недвижимости также стабильно интересует граждан: выдано почти 22 млн сведений за прошедший год. Кроме того, за 2019 год Кадастровая палата выдала около 8 млн выписок об объекте недвижимости и более 2 млн сведений о переходе права собственности.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</w:t>
      </w:r>
      <w:bookmarkStart w:id="1" w:name="__DdeLink__274_154879843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персональные данные собственников.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ЕГРН посредством электронных сервисов, почтовых отправлений, а также через запрос в МФЦ.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то же время, для предоставления сведений фактически в режиме онлайн осенью 2019 года Кадастровая палата в пилотном режиме запустила сервис, который работает для объектов регионов, перешедших на ФГИС ЕГРН. Позже к сервису была подключена Калужская область. С переходом всех субъектов на ЕГРН платформа станет доступна для объектов по всей стране.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Только за прошедшие несколько лет в России сократили сроки оказания услуг в сфере недвижимости на 35%. Зарегистрировать или поставить на учет собственность можно в среднем в течение трех-четырех дней. Такие итоги работы </w:t>
      </w:r>
      <w:hyperlink r:id="rId3">
        <w:r>
          <w:rPr>
            <w:rStyle w:val="Style11"/>
            <w:rFonts w:eastAsia="Times New Roman" w:cs="Times New Roman" w:ascii="Times New Roman" w:hAnsi="Times New Roman"/>
            <w:sz w:val="28"/>
            <w:szCs w:val="28"/>
            <w:lang w:eastAsia="ru-RU"/>
          </w:rPr>
          <w:t>ранее подвел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глава Кадастровой палаты Парвиз Тухтасунов.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«По итогам 2019 года мы совместно с коллегами оказываем уже четыре услуги в секунду, на каждую из которых приходятся десятки транзакций. Такой объем не выполняет ни одно ведомство. В прошлом году мы оказали более 120 млн услуг в учетно-регистрационной сфере - это и выдача сведений из ЕГРН, и проведение действий. Почти 65% из них в электронном виде, который удобен пользователям»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- сказал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Парвиз Тухтасунов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Приоритетом в работе в 2020 году станет реинжиниринг существующих сервисов и внедрение информационной системы. По поручению Правительства необходимо завершить переход всех регионов на ФГИС ЕГРН, внедрять начнут с Москвы и Московской области, которые будут готовы к работе в системе уже во втором квартале этого года.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Segoe UI" w:ascii="Times New Roman" w:hAnsi="Times New Roman"/>
          <w:b/>
          <w:bCs/>
          <w:sz w:val="28"/>
          <w:szCs w:val="28"/>
        </w:rPr>
        <w:t>Пресс-служба Федеральной кадастровой палаты</w:t>
      </w:r>
    </w:p>
    <w:p>
      <w:pPr>
        <w:pStyle w:val="Normal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cs="Segoe UI" w:ascii="Times New Roman" w:hAnsi="Times New Roman"/>
          <w:b/>
          <w:bCs/>
          <w:sz w:val="28"/>
          <w:szCs w:val="28"/>
        </w:rPr>
        <w:t xml:space="preserve"> </w:t>
      </w:r>
      <w:r>
        <w:rPr>
          <w:rFonts w:cs="Segoe UI" w:ascii="Times New Roman" w:hAnsi="Times New Roman"/>
          <w:b/>
          <w:bCs/>
          <w:sz w:val="28"/>
          <w:szCs w:val="28"/>
        </w:rPr>
        <w:t>по Челябинск</w:t>
      </w:r>
      <w:r>
        <w:rPr>
          <w:rFonts w:eastAsia="SimSun;Arial Unicode MS" w:cs="Segoe UI" w:ascii="Times New Roman" w:hAnsi="Times New Roman"/>
          <w:b/>
          <w:bCs/>
          <w:sz w:val="28"/>
          <w:szCs w:val="28"/>
        </w:rPr>
        <w:t>ой области</w:t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8"/>
          <w:szCs w:val="28"/>
          <w:lang w:val="en-US" w:eastAsia="hi-IN" w:bidi="hi-IN"/>
        </w:rPr>
      </w:pPr>
      <w:r>
        <w:rPr>
          <w:rFonts w:eastAsia="Arial Unicode MS" w:cs="Segoe UI"/>
          <w:color w:val="000000"/>
          <w:sz w:val="28"/>
          <w:szCs w:val="28"/>
          <w:lang w:val="en-US" w:eastAsia="hi-IN" w:bidi="hi-IN"/>
        </w:rPr>
      </w:r>
    </w:p>
    <w:p>
      <w:pPr>
        <w:pStyle w:val="NormalWeb"/>
        <w:spacing w:lineRule="atLeast" w:line="240" w:before="0" w:after="0"/>
        <w:rPr>
          <w:rStyle w:val="Style11"/>
          <w:rFonts w:ascii="Times New Roman" w:hAnsi="Times New Roman" w:eastAsia="Arial Unicode MS" w:cs="Segoe UI"/>
          <w:color w:val="000000"/>
          <w:sz w:val="22"/>
          <w:szCs w:val="22"/>
          <w:lang w:val="en-US" w:eastAsia="hi-IN" w:bidi="hi-IN"/>
        </w:rPr>
      </w:pPr>
      <w:r>
        <w:rPr>
          <w:rFonts w:eastAsia="Arial Unicode MS" w:cs="Segoe UI"/>
          <w:color w:val="000000"/>
          <w:sz w:val="22"/>
          <w:szCs w:val="22"/>
          <w:lang w:val="en-US" w:eastAsia="hi-IN" w:bidi="hi-IN"/>
        </w:rPr>
      </w:r>
    </w:p>
    <w:p>
      <w:pPr>
        <w:pStyle w:val="NormalWeb"/>
        <w:spacing w:lineRule="atLeast" w:line="240" w:before="0" w:after="0"/>
        <w:rPr/>
      </w:pPr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Style w:val="Style11"/>
          <w:rFonts w:eastAsia="Arial Unicode MS" w:cs="Segoe UI"/>
          <w:b/>
          <w:bCs/>
          <w:color w:val="000000"/>
          <w:sz w:val="22"/>
          <w:szCs w:val="22"/>
          <w:lang w:val="en-US" w:eastAsia="hi-IN" w:bidi="hi-IN"/>
        </w:rPr>
        <w:t>Тел</w:t>
      </w:r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. 8 (351) 728-75-00 (добавочный номер 2291, 2162).</w:t>
        <w:br/>
      </w:r>
      <w:r>
        <w:rPr>
          <w:rStyle w:val="Style11"/>
          <w:rFonts w:eastAsia="Arial Unicode MS" w:cs="Segoe UI"/>
          <w:b/>
          <w:bCs/>
          <w:color w:val="000000"/>
          <w:sz w:val="22"/>
          <w:szCs w:val="22"/>
          <w:lang w:val="en-US" w:eastAsia="hi-IN" w:bidi="hi-IN"/>
        </w:rPr>
        <w:t>E-mail</w:t>
      </w:r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: </w:t>
      </w:r>
      <w:hyperlink r:id="rId4">
        <w:r>
          <w:rPr>
            <w:rStyle w:val="Style11"/>
            <w:rFonts w:eastAsia="Arial Unicode MS" w:cs="Segoe UI"/>
            <w:color w:val="000000"/>
            <w:sz w:val="22"/>
            <w:szCs w:val="22"/>
            <w:lang w:val="ru-RU" w:eastAsia="hi-IN" w:bidi="hi-IN"/>
          </w:rPr>
          <w:t>pressafgu74@mail.ru</w:t>
        </w:r>
      </w:hyperlink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 </w:t>
        <w:br/>
      </w:r>
      <w:r>
        <w:rPr>
          <w:rStyle w:val="Style11"/>
          <w:rFonts w:eastAsia="Arial Unicode MS" w:cs="Segoe UI"/>
          <w:b/>
          <w:bCs/>
          <w:color w:val="000000"/>
          <w:sz w:val="22"/>
          <w:szCs w:val="22"/>
          <w:lang w:val="en-US" w:eastAsia="hi-IN" w:bidi="hi-IN"/>
        </w:rPr>
        <w:t>Сайт</w:t>
      </w:r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: </w:t>
      </w:r>
      <w:hyperlink r:id="rId5">
        <w:r>
          <w:rPr>
            <w:rStyle w:val="Style11"/>
            <w:rFonts w:eastAsia="Arial Unicode MS" w:cs="Segoe UI"/>
            <w:color w:val="000000"/>
            <w:sz w:val="22"/>
            <w:szCs w:val="22"/>
            <w:lang w:val="ru-RU" w:eastAsia="hi-IN" w:bidi="hi-IN"/>
          </w:rPr>
          <w:t>kadastr.ru</w:t>
        </w:r>
      </w:hyperlink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 (регион - Челябинская область)</w:t>
        <w:br/>
      </w:r>
      <w:r>
        <w:rPr>
          <w:rStyle w:val="Style11"/>
          <w:rFonts w:eastAsia="Arial Unicode MS" w:cs="Segoe UI"/>
          <w:b/>
          <w:bCs/>
          <w:color w:val="000000"/>
          <w:sz w:val="22"/>
          <w:szCs w:val="22"/>
          <w:lang w:val="en-US" w:eastAsia="hi-IN" w:bidi="hi-IN"/>
        </w:rPr>
        <w:t>ВКонтакте</w:t>
      </w:r>
      <w:r>
        <w:rPr>
          <w:rStyle w:val="Style11"/>
          <w:rFonts w:eastAsia="Arial Unicode MS" w:cs="Segoe UI"/>
          <w:color w:val="000000"/>
          <w:sz w:val="22"/>
          <w:szCs w:val="22"/>
          <w:lang w:val="en-US" w:eastAsia="hi-IN" w:bidi="hi-IN"/>
        </w:rPr>
        <w:t>: </w:t>
      </w:r>
      <w:hyperlink r:id="rId6">
        <w:r>
          <w:rPr>
            <w:rStyle w:val="Style11"/>
            <w:rFonts w:eastAsia="Arial Unicode MS" w:cs="Segoe UI"/>
            <w:color w:val="000000"/>
            <w:sz w:val="22"/>
            <w:szCs w:val="22"/>
            <w:lang w:val="ru-RU" w:eastAsia="hi-IN" w:bidi="hi-IN"/>
          </w:rPr>
          <w:t>vk.com/fkp74</w:t>
        </w:r>
      </w:hyperlink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35120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5120c"/>
    <w:rPr>
      <w:color w:val="605E5C"/>
      <w:shd w:fill="E1DFDD" w:val="clear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5120c"/>
    <w:pPr/>
    <w:rPr>
      <w:rFonts w:ascii="Times New Roman" w:hAnsi="Times New Roman" w:cs="Times New Roman"/>
      <w:sz w:val="24"/>
      <w:szCs w:val="24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adastr.ru/magazine/news/glava-federalnoy-kadastrovoy-palaty-podvel-itogi-goda/" TargetMode="External"/><Relationship Id="rId4" Type="http://schemas.openxmlformats.org/officeDocument/2006/relationships/hyperlink" Target="mailto:pressafgu74@mail.ru" TargetMode="External"/><Relationship Id="rId5" Type="http://schemas.openxmlformats.org/officeDocument/2006/relationships/hyperlink" Target="http://kadastr.ru/site/press/news.htm" TargetMode="External"/><Relationship Id="rId6" Type="http://schemas.openxmlformats.org/officeDocument/2006/relationships/hyperlink" Target="http://https/vk.com/fkp74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LibreOffice/4.4.4.3$Windows_x86 LibreOffice_project/2c39ebcf046445232b798108aa8a7e7d89552ea8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2020-02-26T05:36:00Z</dcterms:created>
  <dc:creator>Жиганова Мария Олеговна</dc:creator>
  <dc:language>ru-RU</dc:language>
  <cp:lastModifiedBy>111</cp:lastModifiedBy>
  <cp:lastPrinted>2020-02-26T14:51:24Z</cp:lastPrinted>
  <dcterms:modified xsi:type="dcterms:W3CDTF">2020-02-27T13:09:07Z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