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mc:Ignorable="co w14 x14 w15">
  <w:body>
    <w:p w14:paraId="01000000">
      <w:pPr>
        <w:ind/>
        <w:jc w:val="center"/>
        <w:rPr>
          <w:b w:val="1"/>
          <w:sz w:val="20"/>
          <w:u w:val="single"/>
        </w:rPr>
      </w:pPr>
      <w:r>
        <w:rPr>
          <w:b w:val="1"/>
          <w:sz w:val="20"/>
        </w:rPr>
        <w:t xml:space="preserve">УПРАВЛЕНИЕ </w:t>
      </w:r>
      <w:r>
        <w:rPr>
          <w:b w:val="1"/>
          <w:sz w:val="20"/>
        </w:rPr>
        <w:t>ФЕДЕРАЛЬНОЙ  СЛУЖБЫ</w:t>
      </w:r>
      <w:r>
        <w:rPr>
          <w:b w:val="1"/>
          <w:sz w:val="20"/>
        </w:rPr>
        <w:t xml:space="preserve"> ГОСУДАРСТВЕННОЙ  РЕГИСТРАЦИИ, </w:t>
      </w:r>
    </w:p>
    <w:p w14:paraId="02000000">
      <w:pPr>
        <w:ind/>
        <w:jc w:val="center"/>
        <w:rPr>
          <w:b w:val="1"/>
          <w:sz w:val="20"/>
        </w:rPr>
      </w:pPr>
      <w:r>
        <w:rPr>
          <w:b w:val="1"/>
          <w:sz w:val="20"/>
          <w:u w:val="single"/>
        </w:rPr>
        <w:t>КАДАСТРА И КАРТОГРАФИИ (</w:t>
      </w:r>
      <w:r>
        <w:rPr>
          <w:b w:val="1"/>
          <w:sz w:val="20"/>
          <w:u w:val="single"/>
        </w:rPr>
        <w:t>РОСРЕЕСТР)  ПО</w:t>
      </w:r>
      <w:r>
        <w:rPr>
          <w:b w:val="1"/>
          <w:sz w:val="20"/>
          <w:u w:val="single"/>
        </w:rPr>
        <w:t xml:space="preserve"> ЧЕЛЯБИНСКОЙ ОБЛАСТИ </w:t>
      </w:r>
    </w:p>
    <w:p w14:paraId="03000000">
      <w:pPr>
        <w:rPr>
          <w:sz w:val="28"/>
        </w:rPr>
      </w:pPr>
      <w:r>
        <w:rPr>
          <w:b w:val="1"/>
          <w:sz w:val="20"/>
        </w:rPr>
        <w:tab/>
      </w:r>
      <w:r>
        <w:rPr>
          <w:b w:val="1"/>
          <w:sz w:val="20"/>
        </w:rPr>
        <w:tab/>
      </w:r>
      <w:r>
        <w:rPr>
          <w:b w:val="1"/>
          <w:sz w:val="20"/>
        </w:rPr>
        <w:t xml:space="preserve">                                               </w:t>
      </w:r>
      <w:r>
        <w:rPr>
          <w:sz w:val="20"/>
        </w:rPr>
        <w:t>454048</w:t>
      </w:r>
      <w:r>
        <w:rPr>
          <w:b w:val="1"/>
          <w:sz w:val="20"/>
        </w:rPr>
        <w:t xml:space="preserve"> </w:t>
      </w:r>
      <w:r>
        <w:rPr>
          <w:sz w:val="20"/>
        </w:rPr>
        <w:t>г. Челябинск, ул. Елькина, 85</w:t>
      </w:r>
    </w:p>
    <w:p w14:paraId="04000000">
      <w:pPr>
        <w:rPr>
          <w:sz w:val="27"/>
        </w:rPr>
      </w:pPr>
      <w:r>
        <w:rPr>
          <w:sz w:val="28"/>
        </w:rPr>
        <w:drawing>
          <wp:inline>
            <wp:extent cx="1781174" cy="561974"/>
            <wp:docPr id="1" name="Picture"/>
            <a:graphic>
              <a:graphicData uri="http://schemas.openxmlformats.org/drawingml/2006/picture">
                <pic:pic>
                  <pic:nvPicPr>
                    <pic:cNvPr id="0" name="Picture"/>
                    <pic:cNvPicPr preferRelativeResize="true"/>
                  </pic:nvPicPr>
                  <pic:blipFill>
                    <a:blip r:embed="rId1" r:link=""/>
                    <a:stretch/>
                  </pic:blipFill>
                  <pic:spPr>
                    <a:xfrm rot="0">
                      <a:off x="0" y="0"/>
                      <a:ext cx="1781174" cy="561974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7"/>
        </w:rPr>
        <w:t xml:space="preserve">       </w:t>
      </w:r>
      <w:r>
        <w:rPr>
          <w:sz w:val="27"/>
        </w:rPr>
        <w:t xml:space="preserve">   </w:t>
      </w:r>
      <w:r>
        <w:rPr>
          <w:sz w:val="27"/>
        </w:rPr>
        <w:t xml:space="preserve">      2020</w:t>
      </w:r>
    </w:p>
    <w:p w14:paraId="05000000">
      <w:pPr>
        <w:ind w:firstLine="708"/>
        <w:jc w:val="center"/>
        <w:rPr>
          <w:color w:val="3C4052"/>
          <w:sz w:val="27"/>
        </w:rPr>
      </w:pPr>
      <w:r>
        <w:rPr>
          <w:color w:val="3C4052"/>
          <w:sz w:val="27"/>
        </w:rPr>
        <w:t>А</w:t>
      </w:r>
      <w:r>
        <w:rPr>
          <w:color w:val="3C4052"/>
          <w:sz w:val="27"/>
        </w:rPr>
        <w:t>ктуализированы признаки неиспользования сельскохозяйствен</w:t>
      </w:r>
      <w:r>
        <w:rPr>
          <w:color w:val="3C4052"/>
          <w:sz w:val="27"/>
        </w:rPr>
        <w:t>ных земель</w:t>
      </w:r>
      <w:r>
        <w:rPr>
          <w:color w:val="3C4052"/>
          <w:sz w:val="27"/>
        </w:rPr>
        <w:t xml:space="preserve"> </w:t>
      </w:r>
    </w:p>
    <w:p w14:paraId="06000000">
      <w:pPr>
        <w:ind w:firstLine="708"/>
        <w:jc w:val="both"/>
        <w:rPr>
          <w:b w:val="1"/>
          <w:color w:val="3C4052"/>
          <w:sz w:val="27"/>
        </w:rPr>
      </w:pPr>
      <w:r>
        <w:rPr>
          <w:b w:val="1"/>
          <w:color w:val="3C4052"/>
          <w:sz w:val="27"/>
        </w:rPr>
        <w:t xml:space="preserve">Управление Федеральной службы государственной регистрации, кадастра и картографии по Челябинской области </w:t>
      </w:r>
      <w:r>
        <w:rPr>
          <w:b w:val="1"/>
          <w:color w:val="3C4052"/>
          <w:sz w:val="27"/>
        </w:rPr>
        <w:t xml:space="preserve">информирует </w:t>
      </w:r>
      <w:r>
        <w:rPr>
          <w:b w:val="1"/>
          <w:color w:val="3C4052"/>
          <w:sz w:val="27"/>
        </w:rPr>
        <w:t>южноуральц</w:t>
      </w:r>
      <w:r>
        <w:rPr>
          <w:b w:val="1"/>
          <w:color w:val="3C4052"/>
          <w:sz w:val="27"/>
        </w:rPr>
        <w:t>ев</w:t>
      </w:r>
      <w:r>
        <w:rPr>
          <w:b w:val="1"/>
          <w:color w:val="3C4052"/>
          <w:sz w:val="27"/>
        </w:rPr>
        <w:t xml:space="preserve"> </w:t>
      </w:r>
      <w:r>
        <w:rPr>
          <w:b w:val="1"/>
          <w:color w:val="3C4052"/>
          <w:sz w:val="27"/>
        </w:rPr>
        <w:t>о</w:t>
      </w:r>
      <w:r>
        <w:rPr>
          <w:b w:val="1"/>
          <w:color w:val="3C4052"/>
          <w:sz w:val="27"/>
        </w:rPr>
        <w:t>б</w:t>
      </w:r>
      <w:r>
        <w:rPr>
          <w:b w:val="1"/>
          <w:color w:val="3C4052"/>
          <w:sz w:val="27"/>
        </w:rPr>
        <w:t xml:space="preserve"> </w:t>
      </w:r>
      <w:r>
        <w:rPr>
          <w:b w:val="1"/>
          <w:color w:val="3C4052"/>
          <w:sz w:val="27"/>
        </w:rPr>
        <w:t xml:space="preserve">утверждении </w:t>
      </w:r>
      <w:r>
        <w:rPr>
          <w:b w:val="1"/>
          <w:color w:val="3C4052"/>
          <w:sz w:val="27"/>
        </w:rPr>
        <w:t xml:space="preserve">актуального перечня </w:t>
      </w:r>
      <w:bookmarkStart w:id="1" w:name="_GoBack"/>
      <w:bookmarkEnd w:id="1"/>
      <w:r>
        <w:rPr>
          <w:b w:val="1"/>
          <w:color w:val="3C4052"/>
          <w:sz w:val="27"/>
        </w:rPr>
        <w:t>признаков</w:t>
      </w:r>
      <w:r>
        <w:rPr>
          <w:b w:val="1"/>
          <w:color w:val="3C4052"/>
          <w:sz w:val="27"/>
        </w:rPr>
        <w:t xml:space="preserve"> неиспользования сельскохозяйственных земель по целевому назначению или использования </w:t>
      </w:r>
      <w:r>
        <w:rPr>
          <w:b w:val="1"/>
          <w:color w:val="3C4052"/>
          <w:sz w:val="27"/>
        </w:rPr>
        <w:t xml:space="preserve">их </w:t>
      </w:r>
      <w:r>
        <w:rPr>
          <w:b w:val="1"/>
          <w:color w:val="3C4052"/>
          <w:sz w:val="27"/>
        </w:rPr>
        <w:t xml:space="preserve">с нарушением законодательства. </w:t>
      </w:r>
    </w:p>
    <w:p w14:paraId="07000000">
      <w:pPr>
        <w:ind w:firstLine="708"/>
        <w:jc w:val="both"/>
        <w:rPr>
          <w:color w:val="3C4052"/>
          <w:sz w:val="27"/>
        </w:rPr>
      </w:pPr>
      <w:r>
        <w:rPr>
          <w:color w:val="3C4052"/>
          <w:sz w:val="27"/>
        </w:rPr>
        <w:t>30 сентября 2020 года вступает в силу Постановление Правительства Российской Федерации от 18.09.2020 № 1482 «О признаках неиспользования земельных участков из земель сельскохозяйственного назначения по целевому назначению или использования с нарушением законодательства Российской Федерации», которым утверждены</w:t>
      </w:r>
      <w:r>
        <w:rPr>
          <w:color w:val="3C4052"/>
          <w:sz w:val="27"/>
        </w:rPr>
        <w:t xml:space="preserve"> все</w:t>
      </w:r>
      <w:r>
        <w:rPr>
          <w:color w:val="3C4052"/>
          <w:sz w:val="27"/>
        </w:rPr>
        <w:t xml:space="preserve"> признаки неиспользования сельскохозяйственных земель. В сравнении с предыдущими от 2012 года, новые </w:t>
      </w:r>
      <w:r>
        <w:rPr>
          <w:color w:val="3C4052"/>
          <w:sz w:val="27"/>
        </w:rPr>
        <w:t>признаки</w:t>
      </w:r>
      <w:r>
        <w:rPr>
          <w:color w:val="3C4052"/>
          <w:sz w:val="27"/>
        </w:rPr>
        <w:t>, устанавливающие</w:t>
      </w:r>
      <w:r>
        <w:rPr>
          <w:color w:val="3C4052"/>
          <w:sz w:val="27"/>
        </w:rPr>
        <w:t xml:space="preserve"> </w:t>
      </w:r>
      <w:r>
        <w:rPr>
          <w:color w:val="3C4052"/>
          <w:sz w:val="27"/>
        </w:rPr>
        <w:t xml:space="preserve">неиспользование </w:t>
      </w:r>
      <w:r>
        <w:rPr>
          <w:color w:val="3C4052"/>
          <w:sz w:val="27"/>
        </w:rPr>
        <w:t>участка</w:t>
      </w:r>
      <w:r>
        <w:rPr>
          <w:color w:val="3C4052"/>
          <w:sz w:val="27"/>
        </w:rPr>
        <w:t xml:space="preserve"> / использование с нарушением закона, </w:t>
      </w:r>
      <w:r>
        <w:rPr>
          <w:color w:val="3C4052"/>
          <w:sz w:val="27"/>
        </w:rPr>
        <w:t xml:space="preserve">содержат более четкие и жесткие определения. </w:t>
      </w:r>
      <w:r>
        <w:rPr>
          <w:color w:val="3C4052"/>
          <w:sz w:val="27"/>
        </w:rPr>
        <w:t>В перечне таких признаков, в частности:</w:t>
      </w:r>
    </w:p>
    <w:p w14:paraId="08000000">
      <w:pPr>
        <w:pStyle w:val="Style_1"/>
        <w:numPr>
          <w:ilvl w:val="0"/>
          <w:numId w:val="1"/>
        </w:numPr>
        <w:ind w:firstLine="0" w:left="426"/>
        <w:jc w:val="both"/>
        <w:rPr>
          <w:color w:val="3C4052"/>
          <w:sz w:val="27"/>
        </w:rPr>
      </w:pPr>
      <w:r>
        <w:rPr>
          <w:color w:val="3C4052"/>
          <w:sz w:val="27"/>
        </w:rPr>
        <w:t>наличие</w:t>
      </w:r>
      <w:r>
        <w:rPr>
          <w:color w:val="3C4052"/>
          <w:sz w:val="27"/>
        </w:rPr>
        <w:t xml:space="preserve"> на 50 и более процентах площади земельного участка зарастания сорными растениями</w:t>
      </w:r>
      <w:r>
        <w:rPr>
          <w:color w:val="3C4052"/>
          <w:sz w:val="27"/>
        </w:rPr>
        <w:t xml:space="preserve"> (в</w:t>
      </w:r>
      <w:r>
        <w:rPr>
          <w:color w:val="3C4052"/>
          <w:sz w:val="27"/>
        </w:rPr>
        <w:t xml:space="preserve"> приложении </w:t>
      </w:r>
      <w:r>
        <w:rPr>
          <w:color w:val="3C4052"/>
          <w:sz w:val="27"/>
        </w:rPr>
        <w:t xml:space="preserve">к документу </w:t>
      </w:r>
      <w:r>
        <w:rPr>
          <w:color w:val="3C4052"/>
          <w:sz w:val="27"/>
        </w:rPr>
        <w:t>приведен перечень сорных растений</w:t>
      </w:r>
      <w:r>
        <w:rPr>
          <w:color w:val="3C4052"/>
          <w:sz w:val="27"/>
        </w:rPr>
        <w:t>)</w:t>
      </w:r>
      <w:r>
        <w:rPr>
          <w:color w:val="3C4052"/>
          <w:sz w:val="27"/>
        </w:rPr>
        <w:t>;</w:t>
      </w:r>
    </w:p>
    <w:p w14:paraId="09000000">
      <w:pPr>
        <w:pStyle w:val="Style_1"/>
        <w:numPr>
          <w:ilvl w:val="0"/>
          <w:numId w:val="1"/>
        </w:numPr>
        <w:ind w:firstLine="0" w:left="426"/>
        <w:jc w:val="both"/>
        <w:rPr>
          <w:color w:val="3C4052"/>
          <w:sz w:val="27"/>
        </w:rPr>
      </w:pPr>
      <w:r>
        <w:rPr>
          <w:color w:val="3C4052"/>
          <w:sz w:val="27"/>
        </w:rPr>
        <w:t>наличие</w:t>
      </w:r>
      <w:r>
        <w:rPr>
          <w:color w:val="3C4052"/>
          <w:sz w:val="27"/>
        </w:rPr>
        <w:t xml:space="preserve"> на земельном участке постройки, имеющей признаки самовольной;</w:t>
      </w:r>
    </w:p>
    <w:p w14:paraId="0A000000">
      <w:pPr>
        <w:pStyle w:val="Style_1"/>
        <w:numPr>
          <w:ilvl w:val="0"/>
          <w:numId w:val="1"/>
        </w:numPr>
        <w:ind w:firstLine="0" w:left="426"/>
        <w:jc w:val="both"/>
        <w:rPr>
          <w:color w:val="3C4052"/>
          <w:sz w:val="27"/>
        </w:rPr>
      </w:pPr>
      <w:r>
        <w:rPr>
          <w:color w:val="3C4052"/>
          <w:sz w:val="27"/>
        </w:rPr>
        <w:t>загрязнение</w:t>
      </w:r>
      <w:r>
        <w:rPr>
          <w:color w:val="3C4052"/>
          <w:sz w:val="27"/>
        </w:rPr>
        <w:t xml:space="preserve"> земельного участка химическими веществами, в том числе радиоактивными, отходами производства, отнесенными в соответствии с законодательством Российской Федерации к I и II классу опасности;</w:t>
      </w:r>
    </w:p>
    <w:p w14:paraId="0B000000">
      <w:pPr>
        <w:pStyle w:val="Style_1"/>
        <w:numPr>
          <w:ilvl w:val="0"/>
          <w:numId w:val="1"/>
        </w:numPr>
        <w:ind w:firstLine="0" w:left="426"/>
        <w:jc w:val="both"/>
        <w:rPr>
          <w:color w:val="3C4052"/>
          <w:sz w:val="27"/>
        </w:rPr>
      </w:pPr>
      <w:r>
        <w:rPr>
          <w:color w:val="3C4052"/>
          <w:sz w:val="27"/>
        </w:rPr>
        <w:t>захламление</w:t>
      </w:r>
      <w:r>
        <w:rPr>
          <w:color w:val="3C4052"/>
          <w:sz w:val="27"/>
        </w:rPr>
        <w:t xml:space="preserve"> земельного участка иными предметами, не связанными с ведением сельского хозяйства, на 20 и более процентов площади земельного участка;</w:t>
      </w:r>
    </w:p>
    <w:p w14:paraId="0C000000">
      <w:pPr>
        <w:pStyle w:val="Style_1"/>
        <w:numPr>
          <w:ilvl w:val="0"/>
          <w:numId w:val="1"/>
        </w:numPr>
        <w:ind w:firstLine="0" w:left="426"/>
        <w:jc w:val="both"/>
        <w:rPr>
          <w:color w:val="3C4052"/>
          <w:sz w:val="27"/>
        </w:rPr>
      </w:pPr>
      <w:r>
        <w:rPr>
          <w:color w:val="3C4052"/>
          <w:sz w:val="27"/>
        </w:rPr>
        <w:t>использование</w:t>
      </w:r>
      <w:r>
        <w:rPr>
          <w:color w:val="3C4052"/>
          <w:sz w:val="27"/>
        </w:rPr>
        <w:t xml:space="preserve"> земельного участка не по целевому назначению;</w:t>
      </w:r>
    </w:p>
    <w:p w14:paraId="0D000000">
      <w:pPr>
        <w:pStyle w:val="Style_1"/>
        <w:numPr>
          <w:ilvl w:val="0"/>
          <w:numId w:val="1"/>
        </w:numPr>
        <w:ind w:firstLine="0" w:left="426"/>
        <w:jc w:val="both"/>
        <w:rPr>
          <w:color w:val="3C4052"/>
          <w:sz w:val="27"/>
        </w:rPr>
      </w:pPr>
      <w:r>
        <w:rPr>
          <w:color w:val="3C4052"/>
          <w:sz w:val="27"/>
        </w:rPr>
        <w:t>ведение</w:t>
      </w:r>
      <w:r>
        <w:rPr>
          <w:color w:val="3C4052"/>
          <w:sz w:val="27"/>
        </w:rPr>
        <w:t xml:space="preserve"> сельскохозяйственной деятельности менее чем на 25 процентах площади земельного участка.</w:t>
      </w:r>
    </w:p>
    <w:p w14:paraId="0E000000">
      <w:pPr>
        <w:ind w:firstLine="708"/>
        <w:jc w:val="both"/>
        <w:rPr>
          <w:color w:val="3C4052"/>
          <w:sz w:val="27"/>
        </w:rPr>
      </w:pPr>
      <w:r>
        <w:rPr>
          <w:color w:val="3C4052"/>
          <w:sz w:val="27"/>
        </w:rPr>
        <w:t xml:space="preserve">Предусматривается, что признаки неиспользования </w:t>
      </w:r>
      <w:r>
        <w:rPr>
          <w:color w:val="3C4052"/>
          <w:sz w:val="27"/>
        </w:rPr>
        <w:t>земли</w:t>
      </w:r>
      <w:r>
        <w:rPr>
          <w:color w:val="3C4052"/>
          <w:sz w:val="27"/>
        </w:rPr>
        <w:t xml:space="preserve"> по целевому назначению или использования с нарушением законодательства РФ не </w:t>
      </w:r>
      <w:r>
        <w:rPr>
          <w:color w:val="3C4052"/>
          <w:sz w:val="27"/>
        </w:rPr>
        <w:t xml:space="preserve">будут </w:t>
      </w:r>
      <w:r>
        <w:rPr>
          <w:color w:val="3C4052"/>
          <w:sz w:val="27"/>
        </w:rPr>
        <w:t>учитыват</w:t>
      </w:r>
      <w:r>
        <w:rPr>
          <w:color w:val="3C4052"/>
          <w:sz w:val="27"/>
        </w:rPr>
        <w:t>ь</w:t>
      </w:r>
      <w:r>
        <w:rPr>
          <w:color w:val="3C4052"/>
          <w:sz w:val="27"/>
        </w:rPr>
        <w:t>ся, если они выявлены на пло</w:t>
      </w:r>
      <w:r>
        <w:rPr>
          <w:color w:val="3C4052"/>
          <w:sz w:val="27"/>
        </w:rPr>
        <w:t xml:space="preserve">щади земельных участков, </w:t>
      </w:r>
      <w:r>
        <w:rPr>
          <w:color w:val="3C4052"/>
          <w:sz w:val="27"/>
        </w:rPr>
        <w:t>на которых расположены здания и сооружения, защитные лесные насаждения, водоемы и водотоки;</w:t>
      </w:r>
      <w:r>
        <w:rPr>
          <w:color w:val="3C4052"/>
          <w:sz w:val="27"/>
        </w:rPr>
        <w:t xml:space="preserve"> </w:t>
      </w:r>
      <w:r>
        <w:rPr>
          <w:color w:val="3C4052"/>
          <w:sz w:val="27"/>
        </w:rPr>
        <w:t>включены в границы особо охраняемых территорий и зон с особыми условиями использования территорий, использование которых для целей ведения сельского хозяйства ограничено в соответствии с правовым режимом таких территорий и зон;</w:t>
      </w:r>
      <w:r>
        <w:rPr>
          <w:color w:val="3C4052"/>
          <w:sz w:val="27"/>
        </w:rPr>
        <w:t xml:space="preserve"> </w:t>
      </w:r>
      <w:r>
        <w:rPr>
          <w:color w:val="3C4052"/>
          <w:sz w:val="27"/>
        </w:rPr>
        <w:t>подвержены деградации, вызванной чрезвычайной ситуацией или чрезвычайным явлением;</w:t>
      </w:r>
      <w:r>
        <w:rPr>
          <w:color w:val="3C4052"/>
          <w:sz w:val="27"/>
        </w:rPr>
        <w:t xml:space="preserve"> находятся под парами, то есть свободные от возделываемых сельскохозяйственных культур для повышения плодородия и накопления влаги в почве на срок не более 2 лет; непригодны для сельскохозяйственного производства или иной связанной с сельскохозяйственным производством деятельности, если их наличие не связано с действиями (бездействием) правообладателя земельного участка; </w:t>
      </w:r>
      <w:r>
        <w:rPr>
          <w:color w:val="3C4052"/>
          <w:sz w:val="27"/>
        </w:rPr>
        <w:t xml:space="preserve">или </w:t>
      </w:r>
      <w:r>
        <w:rPr>
          <w:color w:val="3C4052"/>
          <w:sz w:val="27"/>
        </w:rPr>
        <w:t>в отношении которых проводятся работы по рекультивации или консервации земель в установленном порядке.</w:t>
      </w:r>
    </w:p>
    <w:p w14:paraId="0F000000">
      <w:pPr>
        <w:ind w:firstLine="708"/>
        <w:jc w:val="both"/>
        <w:rPr>
          <w:color w:val="3C4052"/>
          <w:sz w:val="27"/>
        </w:rPr>
      </w:pPr>
      <w:r>
        <w:rPr>
          <w:color w:val="3C4052"/>
          <w:sz w:val="27"/>
        </w:rPr>
        <w:t xml:space="preserve">Дополнительно сообщаем, что </w:t>
      </w:r>
      <w:r>
        <w:rPr>
          <w:color w:val="3C4052"/>
          <w:sz w:val="27"/>
        </w:rPr>
        <w:t xml:space="preserve">Постановление Правительства РФ от 23 апреля 2012 г. № 369 «О признаках неиспользования земельных участков с учетом особенностей ведения сельскохозяйственного производства или осуществления иной связанной с сельскохозяйственным производством деятельности в </w:t>
      </w:r>
      <w:r>
        <w:rPr>
          <w:color w:val="3C4052"/>
          <w:sz w:val="27"/>
        </w:rPr>
        <w:t>субъектах Российской Федерации» п</w:t>
      </w:r>
      <w:r>
        <w:rPr>
          <w:color w:val="3C4052"/>
          <w:sz w:val="27"/>
        </w:rPr>
        <w:t>ризнано утратившим силу</w:t>
      </w:r>
      <w:r>
        <w:rPr>
          <w:color w:val="3C4052"/>
          <w:sz w:val="27"/>
        </w:rPr>
        <w:t>.</w:t>
      </w:r>
    </w:p>
    <w:p w14:paraId="10000000">
      <w:pPr>
        <w:ind w:firstLine="708"/>
        <w:jc w:val="right"/>
        <w:rPr>
          <w:color w:val="3C4052"/>
          <w:sz w:val="27"/>
        </w:rPr>
      </w:pPr>
    </w:p>
    <w:p w14:paraId="11000000">
      <w:pPr>
        <w:ind w:firstLine="708"/>
        <w:jc w:val="right"/>
        <w:rPr>
          <w:i w:val="1"/>
          <w:sz w:val="27"/>
        </w:rPr>
      </w:pPr>
      <w:r>
        <w:rPr>
          <w:i w:val="1"/>
          <w:sz w:val="27"/>
        </w:rPr>
        <w:t>Пресс-служба Управления Росреестра</w:t>
      </w:r>
    </w:p>
    <w:p w14:paraId="12000000">
      <w:pPr>
        <w:ind w:firstLine="708"/>
        <w:jc w:val="right"/>
        <w:rPr>
          <w:i w:val="1"/>
          <w:sz w:val="27"/>
        </w:rPr>
      </w:pPr>
      <w:r>
        <w:rPr>
          <w:i w:val="1"/>
          <w:sz w:val="27"/>
        </w:rPr>
        <w:t>по</w:t>
      </w:r>
      <w:r>
        <w:rPr>
          <w:i w:val="1"/>
          <w:sz w:val="27"/>
        </w:rPr>
        <w:t xml:space="preserve"> Челябинской области</w:t>
      </w:r>
    </w:p>
    <w:sectPr>
      <w:pgSz w:h="16838" w:w="11906"/>
      <w:pgMar w:bottom="284" w:footer="708" w:gutter="0" w:header="708" w:left="567" w:right="424" w:top="28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mc:Ignorable="co w14 x14 w15">
  <w:abstractNum w:abstractNumId="0">
    <w:lvl w:ilvl="0">
      <w:start w:val="1"/>
      <w:numFmt w:val="bullet"/>
      <w:lvlText w:val=""/>
      <w:lvlJc w:val="left"/>
      <w:pPr>
        <w:ind w:hanging="360" w:left="1428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2148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868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588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308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5028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748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468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188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2_ch" w:type="character">
    <w:name w:val="Normal"/>
    <w:link w:val="Style_2"/>
    <w:rPr>
      <w:rFonts w:ascii="Times New Roman" w:hAnsi="Times New Roman"/>
      <w:sz w:val="24"/>
    </w:rPr>
  </w:style>
  <w:style w:styleId="Style_3" w:type="paragraph">
    <w:name w:val="Strong"/>
    <w:basedOn w:val="Style_4"/>
    <w:link w:val="Style_3_ch"/>
    <w:rPr>
      <w:b w:val="1"/>
    </w:rPr>
  </w:style>
  <w:style w:styleId="Style_3_ch" w:type="character">
    <w:name w:val="Strong"/>
    <w:basedOn w:val="Style_4_ch"/>
    <w:link w:val="Style_3"/>
    <w:rPr>
      <w:b w:val="1"/>
    </w:rPr>
  </w:style>
  <w:style w:styleId="Style_5" w:type="paragraph">
    <w:name w:val="toc 2"/>
    <w:next w:val="Style_2"/>
    <w:link w:val="Style_5_ch"/>
    <w:uiPriority w:val="39"/>
    <w:pPr>
      <w:ind w:firstLine="0" w:left="200"/>
    </w:pPr>
  </w:style>
  <w:style w:styleId="Style_5_ch" w:type="character">
    <w:name w:val="toc 2"/>
    <w:link w:val="Style_5"/>
  </w:style>
  <w:style w:styleId="Style_6" w:type="paragraph">
    <w:name w:val="toc 4"/>
    <w:next w:val="Style_2"/>
    <w:link w:val="Style_6_ch"/>
    <w:uiPriority w:val="39"/>
    <w:pPr>
      <w:ind w:firstLine="0" w:left="600"/>
    </w:pPr>
  </w:style>
  <w:style w:styleId="Style_6_ch" w:type="character">
    <w:name w:val="toc 4"/>
    <w:link w:val="Style_6"/>
  </w:style>
  <w:style w:styleId="Style_7" w:type="paragraph">
    <w:name w:val="Emphasis"/>
    <w:basedOn w:val="Style_4"/>
    <w:link w:val="Style_7_ch"/>
    <w:rPr>
      <w:i w:val="1"/>
    </w:rPr>
  </w:style>
  <w:style w:styleId="Style_7_ch" w:type="character">
    <w:name w:val="Emphasis"/>
    <w:basedOn w:val="Style_4_ch"/>
    <w:link w:val="Style_7"/>
    <w:rPr>
      <w:i w:val="1"/>
    </w:rPr>
  </w:style>
  <w:style w:styleId="Style_8" w:type="paragraph">
    <w:name w:val="toc 6"/>
    <w:next w:val="Style_2"/>
    <w:link w:val="Style_8_ch"/>
    <w:uiPriority w:val="39"/>
    <w:pPr>
      <w:ind w:firstLine="0" w:left="1000"/>
    </w:pPr>
  </w:style>
  <w:style w:styleId="Style_8_ch" w:type="character">
    <w:name w:val="toc 6"/>
    <w:link w:val="Style_8"/>
  </w:style>
  <w:style w:styleId="Style_9" w:type="paragraph">
    <w:name w:val="Balloon Text"/>
    <w:basedOn w:val="Style_2"/>
    <w:link w:val="Style_9_ch"/>
    <w:rPr>
      <w:rFonts w:ascii="Segoe UI" w:hAnsi="Segoe UI"/>
      <w:sz w:val="18"/>
    </w:rPr>
  </w:style>
  <w:style w:styleId="Style_9_ch" w:type="character">
    <w:name w:val="Balloon Text"/>
    <w:basedOn w:val="Style_2_ch"/>
    <w:link w:val="Style_9"/>
    <w:rPr>
      <w:rFonts w:ascii="Segoe UI" w:hAnsi="Segoe UI"/>
      <w:sz w:val="18"/>
    </w:rPr>
  </w:style>
  <w:style w:styleId="Style_10" w:type="paragraph">
    <w:name w:val="toc 7"/>
    <w:next w:val="Style_2"/>
    <w:link w:val="Style_10_ch"/>
    <w:uiPriority w:val="39"/>
    <w:pPr>
      <w:ind w:firstLine="0" w:left="1200"/>
    </w:pPr>
  </w:style>
  <w:style w:styleId="Style_10_ch" w:type="character">
    <w:name w:val="toc 7"/>
    <w:link w:val="Style_10"/>
  </w:style>
  <w:style w:styleId="Style_11" w:type="paragraph">
    <w:name w:val="heading 3"/>
    <w:next w:val="Style_2"/>
    <w:link w:val="Style_11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11_ch" w:type="character">
    <w:name w:val="heading 3"/>
    <w:link w:val="Style_11"/>
    <w:rPr>
      <w:rFonts w:ascii="XO Thames" w:hAnsi="XO Thames"/>
      <w:b w:val="1"/>
      <w:i w:val="1"/>
      <w:color w:val="000000"/>
    </w:rPr>
  </w:style>
  <w:style w:styleId="Style_12" w:type="paragraph">
    <w:name w:val="Normal (Web)"/>
    <w:basedOn w:val="Style_2"/>
    <w:link w:val="Style_12_ch"/>
    <w:pPr>
      <w:spacing w:afterAutospacing="on" w:beforeAutospacing="on"/>
      <w:ind/>
    </w:pPr>
  </w:style>
  <w:style w:styleId="Style_12_ch" w:type="character">
    <w:name w:val="Normal (Web)"/>
    <w:basedOn w:val="Style_2_ch"/>
    <w:link w:val="Style_12"/>
  </w:style>
  <w:style w:styleId="Style_13" w:type="paragraph">
    <w:name w:val="toc 3"/>
    <w:next w:val="Style_2"/>
    <w:link w:val="Style_13_ch"/>
    <w:uiPriority w:val="39"/>
    <w:pPr>
      <w:ind w:firstLine="0" w:left="400"/>
    </w:pPr>
  </w:style>
  <w:style w:styleId="Style_13_ch" w:type="character">
    <w:name w:val="toc 3"/>
    <w:link w:val="Style_13"/>
  </w:style>
  <w:style w:styleId="Style_14" w:type="paragraph">
    <w:name w:val="heading 5"/>
    <w:next w:val="Style_2"/>
    <w:link w:val="Style_14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4_ch" w:type="character">
    <w:name w:val="heading 5"/>
    <w:link w:val="Style_14"/>
    <w:rPr>
      <w:rFonts w:ascii="XO Thames" w:hAnsi="XO Thames"/>
      <w:b w:val="1"/>
      <w:color w:val="000000"/>
      <w:sz w:val="22"/>
    </w:rPr>
  </w:style>
  <w:style w:styleId="Style_15" w:type="paragraph">
    <w:name w:val="heading 1"/>
    <w:next w:val="Style_2"/>
    <w:link w:val="Style_15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Hyperlink"/>
    <w:basedOn w:val="Style_4"/>
    <w:link w:val="Style_16_ch"/>
    <w:rPr>
      <w:color w:val="0000FF"/>
      <w:u w:val="single"/>
    </w:rPr>
  </w:style>
  <w:style w:styleId="Style_16_ch" w:type="character">
    <w:name w:val="Hyperlink"/>
    <w:basedOn w:val="Style_4_ch"/>
    <w:link w:val="Style_16"/>
    <w:rPr>
      <w:color w:val="0000FF"/>
      <w:u w:val="single"/>
    </w:rPr>
  </w:style>
  <w:style w:styleId="Style_17" w:type="paragraph">
    <w:name w:val="Footnote"/>
    <w:link w:val="Style_17_ch"/>
    <w:pPr>
      <w:ind/>
      <w:jc w:val="left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2"/>
    <w:link w:val="Style_18_ch"/>
    <w:uiPriority w:val="39"/>
    <w:pPr>
      <w:ind w:firstLine="0" w:left="0"/>
    </w:pPr>
    <w:rPr>
      <w:rFonts w:ascii="XO Thames" w:hAnsi="XO Thames"/>
      <w:b w:val="1"/>
    </w:rPr>
  </w:style>
  <w:style w:styleId="Style_18_ch" w:type="character">
    <w:name w:val="toc 1"/>
    <w:link w:val="Style_18"/>
    <w:rPr>
      <w:rFonts w:ascii="XO Thames" w:hAnsi="XO Thames"/>
      <w:b w:val="1"/>
    </w:rPr>
  </w:style>
  <w:style w:styleId="Style_19" w:type="paragraph">
    <w:name w:val="Header and Footer"/>
    <w:link w:val="Style_19_ch"/>
    <w:pPr>
      <w:spacing w:line="360" w:lineRule="auto"/>
      <w:ind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toc 9"/>
    <w:next w:val="Style_2"/>
    <w:link w:val="Style_20_ch"/>
    <w:uiPriority w:val="39"/>
    <w:pPr>
      <w:ind w:firstLine="0" w:left="1600"/>
    </w:pPr>
  </w:style>
  <w:style w:styleId="Style_20_ch" w:type="character">
    <w:name w:val="toc 9"/>
    <w:link w:val="Style_20"/>
  </w:style>
  <w:style w:styleId="Style_21" w:type="paragraph">
    <w:name w:val="toc 8"/>
    <w:next w:val="Style_2"/>
    <w:link w:val="Style_21_ch"/>
    <w:uiPriority w:val="39"/>
    <w:pPr>
      <w:ind w:firstLine="0" w:left="1400"/>
    </w:pPr>
  </w:style>
  <w:style w:styleId="Style_21_ch" w:type="character">
    <w:name w:val="toc 8"/>
    <w:link w:val="Style_21"/>
  </w:style>
  <w:style w:styleId="Style_4" w:type="paragraph">
    <w:name w:val="Default Paragraph Font"/>
    <w:link w:val="Style_4_ch"/>
  </w:style>
  <w:style w:styleId="Style_4_ch" w:type="character">
    <w:name w:val="Default Paragraph Font"/>
    <w:link w:val="Style_4"/>
  </w:style>
  <w:style w:styleId="Style_22" w:type="paragraph">
    <w:name w:val="toc 5"/>
    <w:next w:val="Style_2"/>
    <w:link w:val="Style_22_ch"/>
    <w:uiPriority w:val="39"/>
    <w:pPr>
      <w:ind w:firstLine="0" w:left="800"/>
    </w:pPr>
  </w:style>
  <w:style w:styleId="Style_22_ch" w:type="character">
    <w:name w:val="toc 5"/>
    <w:link w:val="Style_22"/>
  </w:style>
  <w:style w:styleId="Style_23" w:type="paragraph">
    <w:name w:val="Subtitle"/>
    <w:next w:val="Style_2"/>
    <w:link w:val="Style_23_ch"/>
    <w:uiPriority w:val="11"/>
    <w:qFormat/>
    <w:rPr>
      <w:rFonts w:ascii="XO Thames" w:hAnsi="XO Thames"/>
      <w:i w:val="1"/>
      <w:color w:val="616161"/>
      <w:sz w:val="24"/>
    </w:rPr>
  </w:style>
  <w:style w:styleId="Style_23_ch" w:type="character">
    <w:name w:val="Subtitle"/>
    <w:link w:val="Style_23"/>
    <w:rPr>
      <w:rFonts w:ascii="XO Thames" w:hAnsi="XO Thames"/>
      <w:i w:val="1"/>
      <w:color w:val="616161"/>
      <w:sz w:val="24"/>
    </w:rPr>
  </w:style>
  <w:style w:styleId="Style_24" w:type="paragraph">
    <w:name w:val="Знак"/>
    <w:basedOn w:val="Style_2"/>
    <w:link w:val="Style_24_ch"/>
    <w:pPr>
      <w:widowControl w:val="0"/>
      <w:ind/>
      <w:jc w:val="both"/>
    </w:pPr>
    <w:rPr>
      <w:rFonts w:ascii="Arial" w:hAnsi="Arial"/>
      <w:sz w:val="21"/>
    </w:rPr>
  </w:style>
  <w:style w:styleId="Style_24_ch" w:type="character">
    <w:name w:val="Знак"/>
    <w:basedOn w:val="Style_2_ch"/>
    <w:link w:val="Style_24"/>
    <w:rPr>
      <w:rFonts w:ascii="Arial" w:hAnsi="Arial"/>
      <w:sz w:val="21"/>
    </w:rPr>
  </w:style>
  <w:style w:styleId="Style_25" w:type="paragraph">
    <w:name w:val="toc 10"/>
    <w:next w:val="Style_2"/>
    <w:link w:val="Style_25_ch"/>
    <w:uiPriority w:val="39"/>
    <w:pPr>
      <w:ind w:firstLine="0" w:left="1800"/>
    </w:pPr>
  </w:style>
  <w:style w:styleId="Style_25_ch" w:type="character">
    <w:name w:val="toc 10"/>
    <w:link w:val="Style_25"/>
  </w:style>
  <w:style w:styleId="Style_26" w:type="paragraph">
    <w:name w:val="Title"/>
    <w:next w:val="Style_2"/>
    <w:link w:val="Style_26_ch"/>
    <w:uiPriority w:val="10"/>
    <w:qFormat/>
    <w:rPr>
      <w:rFonts w:ascii="XO Thames" w:hAnsi="XO Thames"/>
      <w:b w:val="1"/>
      <w:sz w:val="52"/>
    </w:rPr>
  </w:style>
  <w:style w:styleId="Style_26_ch" w:type="character">
    <w:name w:val="Title"/>
    <w:link w:val="Style_26"/>
    <w:rPr>
      <w:rFonts w:ascii="XO Thames" w:hAnsi="XO Thames"/>
      <w:b w:val="1"/>
      <w:sz w:val="52"/>
    </w:rPr>
  </w:style>
  <w:style w:styleId="Style_27" w:type="paragraph">
    <w:name w:val="heading 4"/>
    <w:next w:val="Style_2"/>
    <w:link w:val="Style_27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7_ch" w:type="character">
    <w:name w:val="heading 4"/>
    <w:link w:val="Style_27"/>
    <w:rPr>
      <w:rFonts w:ascii="XO Thames" w:hAnsi="XO Thames"/>
      <w:b w:val="1"/>
      <w:color w:val="595959"/>
      <w:sz w:val="26"/>
    </w:rPr>
  </w:style>
  <w:style w:styleId="Style_28" w:type="paragraph">
    <w:name w:val="heading 2"/>
    <w:next w:val="Style_2"/>
    <w:link w:val="Style_28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8_ch" w:type="character">
    <w:name w:val="heading 2"/>
    <w:link w:val="Style_28"/>
    <w:rPr>
      <w:rFonts w:ascii="XO Thames" w:hAnsi="XO Thames"/>
      <w:b w:val="1"/>
      <w:color w:val="00A0FF"/>
      <w:sz w:val="26"/>
    </w:rPr>
  </w:style>
  <w:style w:styleId="Style_1" w:type="paragraph">
    <w:name w:val="List Paragraph"/>
    <w:basedOn w:val="Style_2"/>
    <w:link w:val="Style_1_ch"/>
    <w:pPr>
      <w:ind w:firstLine="0" w:left="720"/>
      <w:contextualSpacing w:val="1"/>
    </w:pPr>
  </w:style>
  <w:style w:styleId="Style_1_ch" w:type="character">
    <w:name w:val="List Paragraph"/>
    <w:basedOn w:val="Style_2_ch"/>
    <w:link w:val="Style_1"/>
  </w:style>
  <w:style w:default="1" w:styleId="Style_29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8" Target="numbering.xml" Type="http://schemas.openxmlformats.org/officeDocument/2006/relationships/numbering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</a:gradFill>
        <a:gradFill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MyOffice-CoreFramework-Windows/17.2-694.174.3565.329.2@RELEASE-DESKTOP-PARSLEY-RC</Application>
</Properties>
</file>