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EB0433" w:rsidTr="00B10F08">
        <w:trPr>
          <w:cantSplit/>
          <w:trHeight w:val="2640"/>
        </w:trPr>
        <w:tc>
          <w:tcPr>
            <w:tcW w:w="4678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96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1E6599" w:rsidRDefault="001E6599" w:rsidP="00982AEA">
      <w:pPr>
        <w:jc w:val="both"/>
        <w:rPr>
          <w:b/>
        </w:rPr>
      </w:pPr>
    </w:p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DB75C1">
      <w:pPr>
        <w:jc w:val="both"/>
      </w:pPr>
      <w:r>
        <w:t xml:space="preserve">для размещения на сайте </w:t>
      </w:r>
    </w:p>
    <w:p w:rsidR="00DB75C1" w:rsidRDefault="00EC7B39" w:rsidP="00DB75C1">
      <w:pPr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DB75C1">
      <w:pPr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B61071" w:rsidRPr="00B61071" w:rsidRDefault="00B61071" w:rsidP="00B61071">
      <w:pPr>
        <w:ind w:firstLine="709"/>
        <w:jc w:val="both"/>
      </w:pPr>
      <w:r w:rsidRPr="00B61071">
        <w:t xml:space="preserve">В связи с предстоящим пожароопасным сезоном в лесах и негативными тенденциями, сложившимися на данном направлении в 2022 году, необходимо принять дополнительные меры к подготовке сил и средств к тушению пожаров, готовности населенных пунктов, исполнением иных установленных законом требований в указанной сфере.  </w:t>
      </w:r>
    </w:p>
    <w:p w:rsidR="00B61071" w:rsidRPr="00B61071" w:rsidRDefault="00B61071" w:rsidP="00B61071">
      <w:pPr>
        <w:ind w:firstLine="709"/>
        <w:jc w:val="both"/>
      </w:pPr>
      <w:r w:rsidRPr="00B61071">
        <w:t xml:space="preserve">В 2022 году в области произошло 476 лесных пожара (из них 22 крупных) на площади 6921,18 га (в 2021 году – 1152 пожаров (- 2,4 раза), из них 52 крупных (-2,4 раза) на площади 43545,37 га (-6,3 раза). </w:t>
      </w:r>
    </w:p>
    <w:p w:rsidR="00B61071" w:rsidRPr="00B61071" w:rsidRDefault="00B61071" w:rsidP="00B61071">
      <w:pPr>
        <w:ind w:firstLine="709"/>
        <w:jc w:val="both"/>
      </w:pPr>
      <w:r w:rsidRPr="00B61071">
        <w:t>Основная масса лесных пожаров по-прежнему происходит по причине неосторожного обращения граждан с огнем (63,8 %), перехода огня на участки лесного фонда с земель иных кате</w:t>
      </w:r>
      <w:bookmarkStart w:id="0" w:name="_GoBack"/>
      <w:bookmarkEnd w:id="0"/>
      <w:r w:rsidRPr="00B61071">
        <w:t>горий (20,9 %).</w:t>
      </w:r>
    </w:p>
    <w:p w:rsidR="00B61071" w:rsidRPr="00B61071" w:rsidRDefault="00B61071" w:rsidP="00B61071">
      <w:pPr>
        <w:ind w:firstLine="709"/>
        <w:jc w:val="both"/>
      </w:pPr>
      <w:r w:rsidRPr="00B61071">
        <w:t>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использовании, охране, защите лесов, осуществлении иной деятельности в лесах и при пребывании граждан в лесах, а также являются обязательными для исполнения органами государственной власти, органами местного самоуправления, юридическими лицами и гражданами. Правила пожарной безопасности в лесах утверждены постановлением Правительства РФ от 07.10.2020 № 1614.</w:t>
      </w:r>
    </w:p>
    <w:p w:rsidR="00B61071" w:rsidRPr="00B61071" w:rsidRDefault="00B61071" w:rsidP="00B61071">
      <w:pPr>
        <w:ind w:firstLine="709"/>
        <w:jc w:val="both"/>
      </w:pPr>
      <w:r w:rsidRPr="00B61071">
        <w:t xml:space="preserve"> Меры пожарной безопасности в лесах включают в себя: предупреждение лесных пожаров (противопожарное обустройство лесов и обеспечение средствами предупреждения и тушения лесных пожаров); мониторинг (наблюдение) пожарной опасности в лесах и лесных пожаров; разработку и утверждение планов тушения лесных пожаров; иные меры пожарной безопасности в лесах.</w:t>
      </w:r>
    </w:p>
    <w:p w:rsidR="00B61071" w:rsidRPr="00B61071" w:rsidRDefault="00B61071" w:rsidP="00B61071">
      <w:pPr>
        <w:ind w:firstLine="709"/>
        <w:jc w:val="both"/>
      </w:pPr>
      <w:r w:rsidRPr="00B61071">
        <w:t>Административная ответственность за нарушение правил пожарной безопасности в лесах предусмотрена ст. 8.32 Кодекса Российской Федерации об административных правонарушениях. Наказание предусмотрено в виде предупреждения или наложения штрафа.</w:t>
      </w:r>
    </w:p>
    <w:p w:rsidR="00B61071" w:rsidRPr="00B61071" w:rsidRDefault="00B61071" w:rsidP="00B61071">
      <w:pPr>
        <w:ind w:firstLine="709"/>
        <w:jc w:val="both"/>
      </w:pPr>
      <w:r w:rsidRPr="00B61071">
        <w:t xml:space="preserve">За уничтожение или повреждение лесных насаждений и иных насаждений в результате неосторожного обращения с огнем предусмотрена </w:t>
      </w:r>
      <w:r w:rsidRPr="00B61071">
        <w:lastRenderedPageBreak/>
        <w:t>уголовная ответственность по ст. 261 Уголовного кодекса Российской Федерации. Наказание за совершение указанного преступления предусмотрено в виде штрафа, либо лишением свободы.</w:t>
      </w:r>
    </w:p>
    <w:p w:rsidR="00B61071" w:rsidRPr="00B61071" w:rsidRDefault="00B61071" w:rsidP="00B61071">
      <w:pPr>
        <w:ind w:firstLine="709"/>
        <w:jc w:val="both"/>
      </w:pPr>
      <w:r w:rsidRPr="00B61071">
        <w:t>Кроме того, за уничтожение или повреждение лесных насаждений и иных насаждений в результате неосторожного обращения с огнем предусмотрена гражданская ответственность.</w:t>
      </w:r>
    </w:p>
    <w:p w:rsidR="001E6599" w:rsidRDefault="001016D6" w:rsidP="00B61071">
      <w:pPr>
        <w:jc w:val="both"/>
      </w:pPr>
      <w:r>
        <w:t xml:space="preserve">   </w:t>
      </w:r>
    </w:p>
    <w:p w:rsidR="001E6599" w:rsidRDefault="001E6599" w:rsidP="00B035CA">
      <w:pPr>
        <w:ind w:firstLine="709"/>
        <w:jc w:val="both"/>
      </w:pPr>
    </w:p>
    <w:p w:rsidR="001E6599" w:rsidRDefault="000B76CF" w:rsidP="000B76CF">
      <w:pPr>
        <w:jc w:val="both"/>
      </w:pPr>
      <w:r>
        <w:t>Помощник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И.А. Зорин</w:t>
      </w:r>
    </w:p>
    <w:p w:rsidR="000B76CF" w:rsidRDefault="000B76CF" w:rsidP="000B76CF">
      <w:pPr>
        <w:jc w:val="both"/>
      </w:pPr>
    </w:p>
    <w:p w:rsidR="000B76CF" w:rsidRDefault="000B76CF" w:rsidP="000B76CF">
      <w:pPr>
        <w:jc w:val="both"/>
      </w:pPr>
      <w:r>
        <w:t>г. Усть-Катава</w:t>
      </w:r>
    </w:p>
    <w:p w:rsidR="006D4770" w:rsidRDefault="006D4770" w:rsidP="00681EA3">
      <w:pPr>
        <w:ind w:firstLine="708"/>
        <w:jc w:val="both"/>
      </w:pP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6"/>
    <w:rsid w:val="000368C3"/>
    <w:rsid w:val="00077151"/>
    <w:rsid w:val="000B76CF"/>
    <w:rsid w:val="000D5381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646E"/>
    <w:rsid w:val="00370009"/>
    <w:rsid w:val="0038236A"/>
    <w:rsid w:val="003A51B4"/>
    <w:rsid w:val="003C3986"/>
    <w:rsid w:val="003E2B21"/>
    <w:rsid w:val="004010D1"/>
    <w:rsid w:val="0043114D"/>
    <w:rsid w:val="00502A7B"/>
    <w:rsid w:val="005B0A4C"/>
    <w:rsid w:val="00637BB4"/>
    <w:rsid w:val="00681EA3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631C"/>
    <w:rsid w:val="00B035CA"/>
    <w:rsid w:val="00B11FFE"/>
    <w:rsid w:val="00B14278"/>
    <w:rsid w:val="00B4733B"/>
    <w:rsid w:val="00B61071"/>
    <w:rsid w:val="00B70356"/>
    <w:rsid w:val="00B90443"/>
    <w:rsid w:val="00BA43D0"/>
    <w:rsid w:val="00BF3956"/>
    <w:rsid w:val="00C900AF"/>
    <w:rsid w:val="00C9309A"/>
    <w:rsid w:val="00D0292F"/>
    <w:rsid w:val="00D23052"/>
    <w:rsid w:val="00D54473"/>
    <w:rsid w:val="00D5677B"/>
    <w:rsid w:val="00D8063B"/>
    <w:rsid w:val="00D80E90"/>
    <w:rsid w:val="00DB75C1"/>
    <w:rsid w:val="00DC1656"/>
    <w:rsid w:val="00DE31BE"/>
    <w:rsid w:val="00E57BB8"/>
    <w:rsid w:val="00EB0433"/>
    <w:rsid w:val="00EC0F84"/>
    <w:rsid w:val="00EC7B39"/>
    <w:rsid w:val="00EE13C1"/>
    <w:rsid w:val="00F334DE"/>
    <w:rsid w:val="00FC0972"/>
    <w:rsid w:val="00FC3E4D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508F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62</cp:revision>
  <cp:lastPrinted>2023-01-13T10:44:00Z</cp:lastPrinted>
  <dcterms:created xsi:type="dcterms:W3CDTF">2021-04-15T05:44:00Z</dcterms:created>
  <dcterms:modified xsi:type="dcterms:W3CDTF">2023-03-15T17:55:00Z</dcterms:modified>
</cp:coreProperties>
</file>