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body>
    <w:p w14:paraId="01000000">
      <w:pPr>
        <w:ind/>
        <w:jc w:val="center"/>
        <w:rPr>
          <w:b w:val="1"/>
          <w:sz w:val="20"/>
          <w:u w:val="single"/>
        </w:rPr>
      </w:pPr>
      <w:r>
        <w:rPr>
          <w:b w:val="1"/>
          <w:sz w:val="20"/>
        </w:rPr>
        <w:t xml:space="preserve">УПРАВЛЕНИЕ </w:t>
      </w:r>
      <w:r>
        <w:rPr>
          <w:b w:val="1"/>
          <w:sz w:val="20"/>
        </w:rPr>
        <w:t>ФЕДЕРАЛЬНОЙ  СЛУЖБЫ</w:t>
      </w:r>
      <w:r>
        <w:rPr>
          <w:b w:val="1"/>
          <w:sz w:val="20"/>
        </w:rPr>
        <w:t xml:space="preserve"> ГОСУДАРСТВЕННОЙ  РЕГИСТРАЦИИ, </w:t>
      </w:r>
    </w:p>
    <w:p w14:paraId="02000000">
      <w:pPr>
        <w:ind/>
        <w:jc w:val="center"/>
        <w:rPr>
          <w:b w:val="1"/>
          <w:sz w:val="20"/>
        </w:rPr>
      </w:pPr>
      <w:r>
        <w:rPr>
          <w:b w:val="1"/>
          <w:sz w:val="20"/>
          <w:u w:val="single"/>
        </w:rPr>
        <w:t>КАДАСТРА И КАРТОГРАФИИ (</w:t>
      </w:r>
      <w:r>
        <w:rPr>
          <w:b w:val="1"/>
          <w:sz w:val="20"/>
          <w:u w:val="single"/>
        </w:rPr>
        <w:t>РОСРЕЕСТР)  ПО</w:t>
      </w:r>
      <w:r>
        <w:rPr>
          <w:b w:val="1"/>
          <w:sz w:val="20"/>
          <w:u w:val="single"/>
        </w:rPr>
        <w:t xml:space="preserve"> ЧЕЛЯБИНСКОЙ ОБЛАСТИ </w:t>
      </w:r>
    </w:p>
    <w:p w14:paraId="03000000">
      <w:pPr>
        <w:rPr>
          <w:sz w:val="28"/>
        </w:rPr>
      </w:pPr>
      <w:r>
        <w:rPr>
          <w:b w:val="1"/>
          <w:sz w:val="20"/>
        </w:rPr>
        <w:tab/>
      </w:r>
      <w:r>
        <w:rPr>
          <w:b w:val="1"/>
          <w:sz w:val="20"/>
        </w:rPr>
        <w:tab/>
      </w:r>
      <w:r>
        <w:rPr>
          <w:b w:val="1"/>
          <w:sz w:val="20"/>
        </w:rPr>
        <w:t xml:space="preserve">                                               </w:t>
      </w:r>
      <w:r>
        <w:rPr>
          <w:sz w:val="20"/>
        </w:rPr>
        <w:t>454048</w:t>
      </w:r>
      <w:r>
        <w:rPr>
          <w:b w:val="1"/>
          <w:sz w:val="20"/>
        </w:rPr>
        <w:t xml:space="preserve"> </w:t>
      </w:r>
      <w:r>
        <w:rPr>
          <w:sz w:val="20"/>
        </w:rPr>
        <w:t>г. Челябинск, ул. Елькина, 85</w:t>
      </w:r>
    </w:p>
    <w:p w14:paraId="04000000">
      <w:pPr>
        <w:rPr>
          <w:sz w:val="28"/>
        </w:rPr>
      </w:pPr>
      <w:r>
        <w:rPr>
          <w:sz w:val="28"/>
        </w:rPr>
        <w:drawing>
          <wp:inline>
            <wp:extent cx="2095732" cy="783771"/>
            <wp:docPr id="1" name="Picture"/>
            <a:graphic>
              <a:graphicData uri="http://schemas.openxmlformats.org/drawingml/2006/picture">
                <pic:pic>
                  <pic:nvPicPr>
                    <pic:cNvPr id="0" name="Picture"/>
                    <pic:cNvPicPr preferRelativeResize="true"/>
                  </pic:nvPicPr>
                  <pic:blipFill>
                    <a:blip r:embed="rId1" r:link=""/>
                    <a:stretch/>
                  </pic:blipFill>
                  <pic:spPr>
                    <a:xfrm rot="0">
                      <a:off x="0" y="0"/>
                      <a:ext cx="2095732" cy="78377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ind/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</w:t>
      </w:r>
      <w:r>
        <w:rPr>
          <w:sz w:val="28"/>
        </w:rPr>
        <w:t>0</w:t>
      </w:r>
      <w:r>
        <w:rPr>
          <w:sz w:val="28"/>
        </w:rPr>
        <w:t>9</w:t>
      </w:r>
      <w:r>
        <w:rPr>
          <w:sz w:val="28"/>
        </w:rPr>
        <w:t>.2020</w:t>
      </w:r>
    </w:p>
    <w:p w14:paraId="06000000">
      <w:pPr>
        <w:pStyle w:val="Style_1"/>
        <w:spacing w:after="150" w:before="330"/>
        <w:ind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Управления Росреестра </w:t>
      </w:r>
      <w:r>
        <w:rPr>
          <w:rFonts w:ascii="Times New Roman" w:hAnsi="Times New Roman"/>
          <w:highlight w:val="white"/>
        </w:rPr>
        <w:t xml:space="preserve">работает над улучшением показателей </w:t>
      </w:r>
    </w:p>
    <w:p w14:paraId="07000000">
      <w:pPr>
        <w:ind w:firstLine="567"/>
        <w:jc w:val="both"/>
        <w:rPr>
          <w:b w:val="1"/>
        </w:rPr>
      </w:pPr>
      <w:r>
        <w:rPr>
          <w:b w:val="1"/>
        </w:rPr>
        <w:t>Управление Росреестра по Челябинской области вошло в число территориальных органов ведомства, где средний процент достижения показателей целевой модели по р</w:t>
      </w:r>
      <w:r>
        <w:rPr>
          <w:b w:val="1"/>
        </w:rPr>
        <w:t xml:space="preserve">егистрации права собственности </w:t>
      </w:r>
      <w:r>
        <w:rPr>
          <w:b w:val="1"/>
        </w:rPr>
        <w:t xml:space="preserve">составил 95 % и более. </w:t>
      </w:r>
    </w:p>
    <w:p w14:paraId="08000000">
      <w:pPr>
        <w:ind w:firstLine="567"/>
        <w:jc w:val="both"/>
      </w:pPr>
      <w:r>
        <w:t>Реализация субъектами РФ целевых моделей в области оформления недвижимого имущества способствует снятию регуляторных ограничений при ведении бизнеса, улучшению инвестиционного климата и совершенствованию учётно-регистрационной сферы. В целевых моделях по регистрации прав и кадастровому учёту учтены ключевые вопросы, с которыми предприниматели сталкиваются при приобретении и оформлении недвижимого имущества, а также основные потребности бизнеса.</w:t>
      </w:r>
    </w:p>
    <w:p w14:paraId="09000000">
      <w:pPr>
        <w:ind w:firstLine="567"/>
        <w:jc w:val="both"/>
      </w:pPr>
      <w:r>
        <w:t>По данным информационной системы «</w:t>
      </w:r>
      <w:r>
        <w:t>Region</w:t>
      </w:r>
      <w:r>
        <w:t xml:space="preserve">-ID», за первое полугодие 2020 года в регионах страны средний процент достижения показателей целевой модели по регистрации прав, установленных на конец 2020 года, составил 82 %. В 15 из 85 субъектов РФ процент реализации целевой модели составил 95 % и более. Лидеры – Амурская, Калужская, Орловская, Самарская, Саратовская, Тамбовская, Тюменская, </w:t>
      </w:r>
      <w:r>
        <w:rPr>
          <w:b w:val="1"/>
        </w:rPr>
        <w:t>Челябинская,</w:t>
      </w:r>
      <w:r>
        <w:t xml:space="preserve"> Ярославская области, республики Башкортостан, Хакасия, Пермский край, Еврейская автономная область, Ямало-Ненецкий автономный округ, Ханты-Мансийский автономный округ – Югра.</w:t>
      </w:r>
    </w:p>
    <w:p w14:paraId="0A000000">
      <w:pPr>
        <w:ind w:firstLine="567"/>
        <w:jc w:val="both"/>
      </w:pPr>
      <w:r>
        <w:t>По итогам реализации целевой модели «Регистрац</w:t>
      </w:r>
      <w:bookmarkStart w:id="1" w:name="_GoBack"/>
      <w:bookmarkEnd w:id="1"/>
      <w:r>
        <w:t xml:space="preserve">ия права собственности на земельные участки и объекты недвижимого имущества» в первом полугодии 2020 года в среднем по России доля решений о приостановлении в регистрации прав составила 2,43 %, об отказе – 0,56 % (при целевых значениях на 1 января 2021 года 5 % и 0,9 % соответственно). Целевые значения по доле решений о приостановлении в регистрации прав достигнуты в 81 субъекте РФ, по доле решений об отказе – в 79. Челябинская область - в числе тех регионов, которые достигли оба целевых показателя, их значение на Южном Урале по итогам первого полугодия 2020 года </w:t>
      </w:r>
      <w:r>
        <w:t xml:space="preserve">существенно </w:t>
      </w:r>
      <w:r>
        <w:t xml:space="preserve">ниже установленных целевой моделью. Но на этом работа по снижению данных показателей не останавливается, ситуация по приостановлениям и отказам в госрегистрации прав находится на ежедневном контроле у руководителя Управления </w:t>
      </w:r>
      <w:r>
        <w:rPr>
          <w:b w:val="1"/>
        </w:rPr>
        <w:t>Ольги Смирных</w:t>
      </w:r>
      <w:r>
        <w:t>.</w:t>
      </w:r>
    </w:p>
    <w:p w14:paraId="0B000000">
      <w:pPr>
        <w:ind w:firstLine="567"/>
        <w:jc w:val="both"/>
      </w:pPr>
      <w:r>
        <w:t>*Напомним, целевая модель «Регистрация права собственности на земельные участки и объекты недвижимого имущества» разработана по поручению Президента России и утверждена Распоряжением Правительства Российской Федерации от 31 января 2017 года № 147-р. В соответствии с данным распоряжением внедряются двенадцать моделей, определяющих действия и показатели по основным направлениям, наиболее сильно влияющим на улучшение инвестиционного климата в регионах страны. К таким направлениям в том числе относятся кадастровый учёт и регистрация прав на недвижимое имущество. Субъекты РФ принимают участие в реализации целевых моделей упрощения процедур ведения бизнеса и повышения инвестиционной привлекательности с февраля 2017 г. Срок реализации целевых моделей по регистрации прав и кадастровому учету – 1 января 2021 года.</w:t>
      </w:r>
    </w:p>
    <w:p w14:paraId="0C000000">
      <w:pPr>
        <w:ind w:firstLine="567"/>
        <w:jc w:val="both"/>
      </w:pPr>
    </w:p>
    <w:p w14:paraId="0D000000">
      <w:pPr>
        <w:ind w:firstLine="567"/>
        <w:jc w:val="both"/>
        <w:rPr>
          <w:sz w:val="28"/>
        </w:rPr>
      </w:pPr>
      <w:r>
        <w:rPr>
          <w:b w:val="1"/>
        </w:rPr>
        <w:t>#инвестклимат74</w:t>
      </w:r>
      <w:r>
        <w:rPr>
          <w:b w:val="1"/>
        </w:rPr>
        <w:t xml:space="preserve"> </w:t>
      </w:r>
    </w:p>
    <w:p w14:paraId="0E000000">
      <w:pPr>
        <w:ind w:firstLine="0" w:left="5103"/>
        <w:jc w:val="both"/>
        <w:rPr>
          <w:i w:val="1"/>
          <w:sz w:val="28"/>
        </w:rPr>
      </w:pPr>
      <w:r>
        <w:rPr>
          <w:i w:val="1"/>
          <w:sz w:val="28"/>
        </w:rPr>
        <w:t>Пресс-служба Управления Росреестра</w:t>
      </w:r>
    </w:p>
    <w:p w14:paraId="0F000000">
      <w:pPr>
        <w:ind w:firstLine="708" w:left="5103"/>
        <w:jc w:val="both"/>
        <w:rPr>
          <w:i w:val="1"/>
          <w:sz w:val="28"/>
        </w:rPr>
      </w:pPr>
      <w:r>
        <w:rPr>
          <w:i w:val="1"/>
          <w:sz w:val="28"/>
        </w:rPr>
        <w:t>по</w:t>
      </w:r>
      <w:r>
        <w:rPr>
          <w:i w:val="1"/>
          <w:sz w:val="28"/>
        </w:rPr>
        <w:t xml:space="preserve"> Челябинской области</w:t>
      </w:r>
    </w:p>
    <w:p w14:paraId="10000000"/>
    <w:p w14:paraId="11000000">
      <w:r>
        <w:t xml:space="preserve"> </w:t>
      </w:r>
    </w:p>
    <w:sectPr>
      <w:pgSz w:h="16838" w:w="11906"/>
      <w:pgMar w:bottom="426" w:footer="708" w:gutter="0" w:header="708" w:left="851" w:right="850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Normal (Web)"/>
    <w:basedOn w:val="Style_2"/>
    <w:link w:val="Style_8_ch"/>
    <w:pPr>
      <w:spacing w:afterAutospacing="on" w:beforeAutospacing="on"/>
      <w:ind/>
    </w:pPr>
    <w:rPr>
      <w:rFonts w:ascii="Verdana" w:hAnsi="Verdana"/>
      <w:color w:val="000000"/>
      <w:sz w:val="20"/>
    </w:rPr>
  </w:style>
  <w:style w:styleId="Style_8_ch" w:type="character">
    <w:name w:val="Normal (Web)"/>
    <w:basedOn w:val="Style_2_ch"/>
    <w:link w:val="Style_8"/>
    <w:rPr>
      <w:rFonts w:ascii="Verdana" w:hAnsi="Verdana"/>
      <w:color w:val="000000"/>
      <w:sz w:val="20"/>
    </w:rPr>
  </w:style>
  <w:style w:styleId="Style_9" w:type="paragraph">
    <w:name w:val="toc 3"/>
    <w:next w:val="Style_2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" w:type="paragraph">
    <w:name w:val="heading 1"/>
    <w:basedOn w:val="Style_2"/>
    <w:next w:val="Style_2"/>
    <w:link w:val="Style_1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000000"/>
      <w:sz w:val="28"/>
    </w:rPr>
  </w:style>
  <w:style w:styleId="Style_1_ch" w:type="character">
    <w:name w:val="heading 1"/>
    <w:basedOn w:val="Style_2_ch"/>
    <w:link w:val="Style_1"/>
    <w:rPr>
      <w:rFonts w:asciiTheme="majorAscii" w:hAnsiTheme="majorHAnsi"/>
      <w:b w:val="1"/>
      <w:color w:themeColor="accent1" w:themeShade="BF" w:val="000000"/>
      <w:sz w:val="28"/>
    </w:rPr>
  </w:style>
  <w:style w:styleId="Style_11" w:type="paragraph">
    <w:name w:val="Hyperlink"/>
    <w:basedOn w:val="Style_12"/>
    <w:link w:val="Style_11_ch"/>
    <w:rPr>
      <w:color w:themeColor="hyperlink" w:val="000000"/>
      <w:u w:val="single"/>
    </w:rPr>
  </w:style>
  <w:style w:styleId="Style_11_ch" w:type="character">
    <w:name w:val="Hyperlink"/>
    <w:basedOn w:val="Style_12_ch"/>
    <w:link w:val="Style_11"/>
    <w:rPr>
      <w:color w:themeColor="hyperlink" w:val="000000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7" w:type="paragraph">
    <w:name w:val="toc 8"/>
    <w:next w:val="Style_2"/>
    <w:link w:val="Style_17_ch"/>
    <w:uiPriority w:val="39"/>
    <w:pPr>
      <w:ind w:firstLine="0" w:left="1400"/>
    </w:pPr>
  </w:style>
  <w:style w:styleId="Style_17_ch" w:type="character">
    <w:name w:val="toc 8"/>
    <w:link w:val="Style_17"/>
  </w:style>
  <w:style w:styleId="Style_18" w:type="paragraph">
    <w:name w:val="toc 5"/>
    <w:next w:val="Style_2"/>
    <w:link w:val="Style_18_ch"/>
    <w:uiPriority w:val="39"/>
    <w:pPr>
      <w:ind w:firstLine="0" w:left="800"/>
    </w:pPr>
  </w:style>
  <w:style w:styleId="Style_18_ch" w:type="character">
    <w:name w:val="toc 5"/>
    <w:link w:val="Style_18"/>
  </w:style>
  <w:style w:styleId="Style_19" w:type="paragraph">
    <w:name w:val="Subtitle"/>
    <w:next w:val="Style_2"/>
    <w:link w:val="Style_19_ch"/>
    <w:uiPriority w:val="11"/>
    <w:qFormat/>
    <w:rPr>
      <w:rFonts w:ascii="XO Thames" w:hAnsi="XO Thames"/>
      <w:i w:val="1"/>
      <w:color w:val="616161"/>
      <w:sz w:val="24"/>
    </w:rPr>
  </w:style>
  <w:style w:styleId="Style_19_ch" w:type="character">
    <w:name w:val="Subtitle"/>
    <w:link w:val="Style_19"/>
    <w:rPr>
      <w:rFonts w:ascii="XO Thames" w:hAnsi="XO Thames"/>
      <w:i w:val="1"/>
      <w:color w:val="616161"/>
      <w:sz w:val="24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0" w:type="paragraph">
    <w:name w:val="toc 10"/>
    <w:next w:val="Style_2"/>
    <w:link w:val="Style_20_ch"/>
    <w:uiPriority w:val="39"/>
    <w:pPr>
      <w:ind w:firstLine="0" w:left="1800"/>
    </w:pPr>
  </w:style>
  <w:style w:styleId="Style_20_ch" w:type="character">
    <w:name w:val="toc 10"/>
    <w:link w:val="Style_20"/>
  </w:style>
  <w:style w:styleId="Style_21" w:type="paragraph">
    <w:name w:val="Title"/>
    <w:next w:val="Style_2"/>
    <w:link w:val="Style_21_ch"/>
    <w:uiPriority w:val="10"/>
    <w:qFormat/>
    <w:rPr>
      <w:rFonts w:ascii="XO Thames" w:hAnsi="XO Thames"/>
      <w:b w:val="1"/>
      <w:sz w:val="52"/>
    </w:rPr>
  </w:style>
  <w:style w:styleId="Style_21_ch" w:type="character">
    <w:name w:val="Title"/>
    <w:link w:val="Style_21"/>
    <w:rPr>
      <w:rFonts w:ascii="XO Thames" w:hAnsi="XO Thames"/>
      <w:b w:val="1"/>
      <w:sz w:val="52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2_ch" w:type="character">
    <w:name w:val="heading 4"/>
    <w:link w:val="Style_22"/>
    <w:rPr>
      <w:rFonts w:ascii="XO Thames" w:hAnsi="XO Thames"/>
      <w:b w:val="1"/>
      <w:color w:val="595959"/>
      <w:sz w:val="26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3_ch" w:type="character">
    <w:name w:val="heading 2"/>
    <w:link w:val="Style_23"/>
    <w:rPr>
      <w:rFonts w:ascii="XO Thames" w:hAnsi="XO Thames"/>
      <w:b w:val="1"/>
      <w:color w:val="00A0FF"/>
      <w:sz w:val="26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</a:gradFill>
        <a:gradFill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MyOffice-CoreFramework-Windows/17.2-694.174.3565.329.2@RELEASE-DESKTOP-PARSLEY-RC</Application>
</Properties>
</file>