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firstLine="567"/>
        <w:jc w:val="both"/>
        <w:rPr/>
      </w:pPr>
      <w:r>
        <w:rPr/>
        <w:drawing>
          <wp:inline distT="0" distB="0" distL="0" distR="0">
            <wp:extent cx="4836795" cy="55181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836795" cy="551815"/>
                    </a:xfrm>
                    <a:prstGeom prst="rect">
                      <a:avLst/>
                    </a:prstGeom>
                    <a:noFill/>
                    <a:ln w="9525">
                      <a:noFill/>
                      <a:miter lim="800000"/>
                      <a:headEnd/>
                      <a:tailEnd/>
                    </a:ln>
                  </pic:spPr>
                </pic:pic>
              </a:graphicData>
            </a:graphic>
          </wp:inline>
        </w:drawing>
      </w:r>
    </w:p>
    <w:p>
      <w:pPr>
        <w:pStyle w:val="Normal"/>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Средний фактический срок государственного кадастрового учета в 2019 году составил 4 дня. По данным на конец 2019 года, в Едином государственном реестре недвижимости (ЕГРН) учтено уже более 170,6 млн объектов недвижимости.</w:t>
      </w:r>
    </w:p>
    <w:p>
      <w:pPr>
        <w:pStyle w:val="Normal"/>
        <w:spacing w:lineRule="auto" w:line="36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В ушедшем году быстрее всего поставить недвижимость на государственный кадастровый учет (ГКУ) можно было в Республиках Мордовия и Северная Осетия, а также в Ставропольском крае – средний срок проведения процедуры в этих регионах составил всего 2 дня. За три дня можно поставить на учет недвижимость можно в 24 регионах: в Белгородской, Брянской, Калужской, Курской, Тульской, Ярославской, Ростовской, Кировской, Самарской, Саратовской, Курганской, Свердловской, Тюменской, Челябинской областях, в Алтайском, Забайкальском и Приморском краях, в Чувашской и Чеченской Республиках, Республиках Башкортостан, Дагестан, Ингушетия и Марий Эл, в Ханты-Мансийском АО.</w:t>
      </w:r>
    </w:p>
    <w:p>
      <w:pPr>
        <w:pStyle w:val="Normal"/>
        <w:spacing w:lineRule="auto" w:line="360"/>
        <w:ind w:firstLine="709"/>
        <w:jc w:val="both"/>
        <w:rPr>
          <w:rFonts w:ascii="Times New Roman" w:hAnsi="Times New Roman" w:cs="Times New Roman"/>
          <w:color w:val="000000"/>
          <w:sz w:val="28"/>
          <w:szCs w:val="28"/>
          <w:shd w:fill="FFFFFF" w:val="clear"/>
        </w:rPr>
      </w:pPr>
      <w:r>
        <w:rPr>
          <w:rFonts w:cs="Times New Roman" w:ascii="Times New Roman" w:hAnsi="Times New Roman"/>
          <w:sz w:val="28"/>
          <w:szCs w:val="28"/>
        </w:rPr>
        <w:t>Четыре</w:t>
      </w:r>
      <w:r>
        <w:rPr>
          <w:rFonts w:cs="Times New Roman" w:ascii="Times New Roman" w:hAnsi="Times New Roman"/>
          <w:color w:val="000000"/>
          <w:sz w:val="28"/>
          <w:szCs w:val="28"/>
          <w:shd w:fill="FFFFFF" w:val="clear"/>
        </w:rPr>
        <w:t xml:space="preserve"> дня процедура займет в Московской, Орловской, Смоленской, Новгородской, Псковской, Астраханской, Нижегородской, Оренбургской, Иркутской, Томской, Амурской областях, в Краснодарском и Хабаровском краях, Республике Калмыкия, Карачаево-Черкесской Республике, в Магаданской области и Чукотском АО.</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По действующему законодательству постановка на кадастровый учет должна проводиться в течение пяти рабочих дней с даты приема документов органом регистрации прав. Граждане могут представить документы для постановки недвижимости на ГКУ через МФЦ, почтовым отправлением с объявленной ценностью при его пересылке, описью вложения и уведомлением о вручении, а также через Интернет с помощью специализированных электронных сервисов.</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При подаче документов через сеть многофункциональных центров срок проведения процедуры ГКУ увеличивается до семи рабочих дней.</w:t>
      </w:r>
    </w:p>
    <w:p>
      <w:pPr>
        <w:pStyle w:val="Normal"/>
        <w:spacing w:lineRule="auto" w:line="360"/>
        <w:ind w:firstLine="709"/>
        <w:jc w:val="both"/>
        <w:rPr/>
      </w:pPr>
      <w:r>
        <w:rPr>
          <w:rFonts w:cs="Times New Roman" w:ascii="Times New Roman" w:hAnsi="Times New Roman"/>
          <w:sz w:val="28"/>
          <w:szCs w:val="28"/>
        </w:rPr>
        <w:t xml:space="preserve">Сократить сроки постановки недвижимости на государственный кадастровый учет позволяют и электронные сервисы, </w:t>
      </w:r>
      <w:r>
        <w:fldChar w:fldCharType="begin"/>
      </w:r>
      <w:r>
        <w:instrText> HYPERLINK "https://kadastr.ru/site/sposoby/electronic.htm" \l "oformitnedv"</w:instrText>
      </w:r>
      <w:r>
        <w:fldChar w:fldCharType="separate"/>
      </w:r>
      <w:r>
        <w:rPr>
          <w:rStyle w:val="Style11"/>
          <w:rFonts w:cs="Times New Roman" w:ascii="Times New Roman" w:hAnsi="Times New Roman"/>
          <w:sz w:val="28"/>
          <w:szCs w:val="28"/>
        </w:rPr>
        <w:t>которые упрощают получение</w:t>
      </w:r>
      <w:r>
        <w:fldChar w:fldCharType="end"/>
      </w:r>
      <w:r>
        <w:rPr>
          <w:rFonts w:cs="Times New Roman" w:ascii="Times New Roman" w:hAnsi="Times New Roman"/>
          <w:sz w:val="28"/>
          <w:szCs w:val="28"/>
        </w:rPr>
        <w:t xml:space="preserve"> государственных услуг в учетно-регистрационной сфере. Проведение государственного кадастрового учета нужно, например, если существенно изменились характеристики здания или сооружения. Если объект недвижимости только был создан (например, построен частный жилой дом) либо был образован (например, впервые выделен земельный участок), требуется проведение кадастрового учета с одновременной регистрацией права собственности на него.</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Как отмечают эксперты Федеральной кадастровой палаты, если объект недвижимости прекратил существование, также следует провести аналогичную процедуру. Разница лишь в предмете заявления: в первом случае гражданин подает необходимый пакет документов и заявление о проведении государственного кадастрового учета, во втором – заявление о снятии с ГКУ и прекращении права собственности.</w:t>
      </w:r>
    </w:p>
    <w:p>
      <w:pPr>
        <w:pStyle w:val="Normal"/>
        <w:spacing w:lineRule="auto" w:line="360"/>
        <w:ind w:firstLine="709"/>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Напомним, в 2014 году срок постановки объекта недвижимости на государственный кадастровый учет составлял десять календарных дней. Таким образом, за последние пять лет средний срок постановки на государственный кадастровый учет сократился в 2,5 раза - с десяти до четырех дней. Это стало возможным благодаря внедрению электронных сервисов и развитию различных форм межве</w:t>
      </w:r>
      <w:bookmarkStart w:id="0" w:name="_GoBack"/>
      <w:bookmarkEnd w:id="0"/>
      <w:r>
        <w:rPr>
          <w:rFonts w:cs="Times New Roman" w:ascii="Times New Roman" w:hAnsi="Times New Roman"/>
          <w:color w:val="000000"/>
          <w:sz w:val="28"/>
          <w:szCs w:val="28"/>
          <w:shd w:fill="FFFFFF" w:val="clear"/>
        </w:rPr>
        <w:t xml:space="preserve">домственного взаимодействия. </w:t>
      </w:r>
    </w:p>
    <w:p>
      <w:pPr>
        <w:pStyle w:val="NormalWeb"/>
        <w:shd w:val="clear" w:color="auto" w:fill="FFFFFF"/>
        <w:spacing w:lineRule="auto" w:line="360"/>
        <w:ind w:firstLine="709"/>
        <w:jc w:val="both"/>
        <w:rPr>
          <w:rFonts w:ascii="Times New Roman" w:hAnsi="Times New Roman" w:cs="Times New Roman"/>
          <w:b/>
          <w:b/>
          <w:iCs/>
          <w:sz w:val="28"/>
          <w:szCs w:val="28"/>
        </w:rPr>
      </w:pPr>
      <w:r>
        <w:rPr>
          <w:rFonts w:cs="Times New Roman" w:ascii="Times New Roman" w:hAnsi="Times New Roman"/>
          <w:i/>
          <w:sz w:val="28"/>
          <w:szCs w:val="28"/>
        </w:rPr>
        <w:t>«</w:t>
      </w:r>
      <w:r>
        <w:rPr>
          <w:rFonts w:cs="Times New Roman" w:ascii="Times New Roman" w:hAnsi="Times New Roman"/>
          <w:i/>
          <w:iCs/>
          <w:color w:val="00000A"/>
          <w:sz w:val="28"/>
          <w:szCs w:val="28"/>
        </w:rPr>
        <w:t xml:space="preserve">Кадастровая палата </w:t>
      </w:r>
      <w:r>
        <w:rPr>
          <w:rFonts w:cs="Times New Roman" w:ascii="Times New Roman" w:hAnsi="Times New Roman"/>
          <w:i/>
          <w:sz w:val="28"/>
          <w:szCs w:val="28"/>
        </w:rPr>
        <w:t xml:space="preserve">по Челябинской области разработала </w:t>
      </w:r>
      <w:r>
        <w:rPr>
          <w:rFonts w:cs="Times New Roman" w:ascii="Times New Roman" w:hAnsi="Times New Roman"/>
          <w:i/>
          <w:iCs/>
          <w:color w:val="00000A"/>
          <w:sz w:val="28"/>
          <w:szCs w:val="28"/>
        </w:rPr>
        <w:t xml:space="preserve">систему мониторингов, позволяющих контролировать качество и сроки кадастрового учета на территории региона. К примеру, мониторинг качества приема документов работниками многофункциональных центров, мониторинг качества подготовки кадастровыми инженерами  документов, необходимых для постановки на кадастровый учет, мониторинг предупреждения нарушения сроков учета и другие. </w:t>
      </w:r>
      <w:r>
        <w:rPr>
          <w:rFonts w:cs="Times New Roman" w:ascii="Times New Roman" w:hAnsi="Times New Roman"/>
          <w:i/>
          <w:iCs/>
          <w:sz w:val="28"/>
          <w:szCs w:val="28"/>
        </w:rPr>
        <w:t xml:space="preserve">Данные мероприятия проводятся, в том числе, в целях улучшения </w:t>
      </w:r>
      <w:r>
        <w:rPr>
          <w:rFonts w:cs="Times New Roman" w:ascii="Times New Roman" w:hAnsi="Times New Roman"/>
          <w:i/>
          <w:iCs/>
          <w:color w:val="00000A"/>
          <w:sz w:val="28"/>
          <w:szCs w:val="28"/>
        </w:rPr>
        <w:t>показател</w:t>
      </w:r>
      <w:r>
        <w:rPr>
          <w:rFonts w:cs="Times New Roman" w:ascii="Times New Roman" w:hAnsi="Times New Roman"/>
          <w:i/>
          <w:iCs/>
          <w:sz w:val="28"/>
          <w:szCs w:val="28"/>
        </w:rPr>
        <w:t xml:space="preserve">ей </w:t>
      </w:r>
      <w:r>
        <w:rPr>
          <w:rFonts w:cs="Times New Roman" w:ascii="Times New Roman" w:hAnsi="Times New Roman"/>
          <w:i/>
          <w:iCs/>
          <w:color w:val="00000A"/>
          <w:sz w:val="28"/>
          <w:szCs w:val="28"/>
        </w:rPr>
        <w:t xml:space="preserve">Национального рейтинга состояния инвестиционного климата в Челябинской области </w:t>
      </w:r>
      <w:r>
        <w:rPr>
          <w:rFonts w:cs="Times New Roman" w:ascii="Times New Roman" w:hAnsi="Times New Roman"/>
          <w:i/>
          <w:iCs/>
          <w:sz w:val="28"/>
          <w:szCs w:val="28"/>
        </w:rPr>
        <w:t xml:space="preserve">и способствуют </w:t>
      </w:r>
      <w:r>
        <w:rPr>
          <w:rFonts w:cs="Times New Roman" w:ascii="Times New Roman" w:hAnsi="Times New Roman"/>
          <w:i/>
          <w:sz w:val="28"/>
          <w:szCs w:val="28"/>
        </w:rPr>
        <w:t>созданию у</w:t>
      </w:r>
      <w:r>
        <w:rPr>
          <w:rFonts w:cs="Times New Roman" w:ascii="Times New Roman" w:hAnsi="Times New Roman"/>
          <w:i/>
          <w:color w:val="00000A"/>
          <w:sz w:val="28"/>
          <w:szCs w:val="28"/>
        </w:rPr>
        <w:t>добной и комфортной среды для предпринимательства</w:t>
      </w:r>
      <w:r>
        <w:rPr>
          <w:rFonts w:cs="Times New Roman" w:ascii="Times New Roman" w:hAnsi="Times New Roman"/>
          <w:i/>
          <w:sz w:val="28"/>
          <w:szCs w:val="28"/>
        </w:rPr>
        <w:t xml:space="preserve">», - </w:t>
      </w:r>
      <w:r>
        <w:rPr>
          <w:rFonts w:cs="Times New Roman" w:ascii="Times New Roman" w:hAnsi="Times New Roman"/>
          <w:sz w:val="28"/>
          <w:szCs w:val="28"/>
        </w:rPr>
        <w:t xml:space="preserve">комментирует </w:t>
      </w:r>
      <w:r>
        <w:rPr>
          <w:rFonts w:cs="Times New Roman" w:ascii="Times New Roman" w:hAnsi="Times New Roman"/>
          <w:b/>
          <w:iCs/>
          <w:sz w:val="28"/>
          <w:szCs w:val="28"/>
        </w:rPr>
        <w:t>директор филиала Федеральной кадастровой палаты по Челябинской области Альфия Янбердина.</w:t>
      </w:r>
    </w:p>
    <w:p>
      <w:pPr>
        <w:pStyle w:val="Normal"/>
        <w:spacing w:lineRule="auto" w:line="240"/>
        <w:ind w:firstLine="567"/>
        <w:jc w:val="right"/>
        <w:rPr>
          <w:rFonts w:cs="Times New Roman"/>
        </w:rPr>
      </w:pPr>
      <w:r>
        <w:rPr>
          <w:rFonts w:cs="Times New Roman"/>
        </w:rPr>
      </w:r>
    </w:p>
    <w:p>
      <w:pPr>
        <w:pStyle w:val="Normal"/>
        <w:spacing w:lineRule="auto" w:line="240"/>
        <w:ind w:firstLine="567"/>
        <w:jc w:val="right"/>
        <w:rPr>
          <w:rFonts w:cs="Times New Roman"/>
        </w:rPr>
      </w:pPr>
      <w:r>
        <w:rPr>
          <w:rFonts w:cs="Times New Roman"/>
        </w:rPr>
      </w:r>
    </w:p>
    <w:p>
      <w:pPr>
        <w:pStyle w:val="Normal"/>
        <w:spacing w:lineRule="auto" w:line="240"/>
        <w:ind w:firstLine="567"/>
        <w:jc w:val="right"/>
        <w:rPr>
          <w:rFonts w:cs="Times New Roman"/>
        </w:rPr>
      </w:pPr>
      <w:r>
        <w:rPr>
          <w:rFonts w:cs="Times New Roman"/>
        </w:rPr>
      </w:r>
    </w:p>
    <w:p>
      <w:pPr>
        <w:pStyle w:val="Normal"/>
        <w:spacing w:lineRule="auto" w:line="240"/>
        <w:ind w:firstLine="567"/>
        <w:jc w:val="right"/>
        <w:rPr>
          <w:rFonts w:cs="Times New Roman"/>
        </w:rPr>
      </w:pPr>
      <w:r>
        <w:rPr>
          <w:rFonts w:cs="Times New Roman"/>
        </w:rPr>
      </w:r>
    </w:p>
    <w:p>
      <w:pPr>
        <w:pStyle w:val="Normal"/>
        <w:spacing w:lineRule="auto" w:line="240"/>
        <w:ind w:firstLine="567"/>
        <w:jc w:val="right"/>
        <w:rPr>
          <w:rFonts w:ascii="Times New Roman" w:hAnsi="Times New Roman"/>
          <w:sz w:val="24"/>
          <w:szCs w:val="24"/>
        </w:rPr>
      </w:pPr>
      <w:r>
        <w:rPr>
          <w:rFonts w:cs="Times New Roman" w:ascii="Times New Roman" w:hAnsi="Times New Roman"/>
          <w:sz w:val="24"/>
          <w:szCs w:val="24"/>
        </w:rPr>
        <w:t xml:space="preserve"> </w:t>
      </w:r>
      <w:r>
        <w:rPr>
          <w:rFonts w:cs="Segoe UI" w:ascii="Times New Roman" w:hAnsi="Times New Roman"/>
          <w:b/>
          <w:bCs/>
          <w:sz w:val="26"/>
          <w:szCs w:val="26"/>
        </w:rPr>
        <w:t>Пресс-служба Федеральной кадастровой палаты</w:t>
      </w:r>
    </w:p>
    <w:p>
      <w:pPr>
        <w:pStyle w:val="Normal"/>
        <w:spacing w:lineRule="auto" w:line="240"/>
        <w:ind w:firstLine="567"/>
        <w:jc w:val="right"/>
        <w:rPr>
          <w:rFonts w:ascii="Times New Roman" w:hAnsi="Times New Roman"/>
          <w:b/>
          <w:b/>
          <w:bCs/>
          <w:sz w:val="26"/>
          <w:szCs w:val="26"/>
        </w:rPr>
      </w:pPr>
      <w:r>
        <w:rPr>
          <w:rFonts w:eastAsia="Segoe UI" w:cs="Segoe UI" w:ascii="Times New Roman" w:hAnsi="Times New Roman"/>
          <w:b/>
          <w:bCs/>
          <w:sz w:val="26"/>
          <w:szCs w:val="26"/>
        </w:rPr>
        <w:t xml:space="preserve"> </w:t>
      </w:r>
      <w:r>
        <w:rPr>
          <w:rFonts w:cs="Segoe UI" w:ascii="Times New Roman" w:hAnsi="Times New Roman"/>
          <w:b/>
          <w:bCs/>
          <w:sz w:val="26"/>
          <w:szCs w:val="26"/>
        </w:rPr>
        <w:t>по Челябинск</w:t>
      </w:r>
      <w:r>
        <w:rPr>
          <w:rFonts w:eastAsia="SimSun;宋体" w:cs="Segoe UI" w:ascii="Times New Roman" w:hAnsi="Times New Roman"/>
          <w:b/>
          <w:bCs/>
          <w:sz w:val="26"/>
          <w:szCs w:val="26"/>
        </w:rPr>
        <w:t>ой области</w:t>
      </w:r>
    </w:p>
    <w:p>
      <w:pPr>
        <w:pStyle w:val="Normal"/>
        <w:ind w:firstLine="680"/>
        <w:jc w:val="right"/>
        <w:rPr/>
      </w:pPr>
      <w:r>
        <w:rPr/>
      </w:r>
    </w:p>
    <w:p>
      <w:pPr>
        <w:pStyle w:val="NormalWeb"/>
        <w:spacing w:before="0" w:after="0"/>
        <w:rPr>
          <w:rFonts w:ascii="Segoe UI" w:hAnsi="Segoe UI" w:eastAsia="Arial Unicode MS" w:cs="Segoe UI"/>
          <w:sz w:val="16"/>
          <w:szCs w:val="16"/>
          <w:lang w:eastAsia="hi-IN" w:bidi="hi-IN"/>
        </w:rPr>
      </w:pPr>
      <w:bookmarkStart w:id="1" w:name="__DdeLink__636_1136453198"/>
      <w:bookmarkStart w:id="2" w:name="__DdeLink__636_1136453198"/>
      <w:r>
        <w:rPr>
          <w:rFonts w:eastAsia="Arial Unicode MS" w:cs="Segoe UI" w:ascii="Segoe UI" w:hAnsi="Segoe UI"/>
          <w:sz w:val="16"/>
          <w:szCs w:val="16"/>
          <w:lang w:eastAsia="hi-IN" w:bidi="hi-IN"/>
        </w:rPr>
      </w:r>
    </w:p>
    <w:p>
      <w:pPr>
        <w:pStyle w:val="NormalWeb"/>
        <w:spacing w:before="0" w:after="0"/>
        <w:rPr>
          <w:rFonts w:ascii="Segoe UI" w:hAnsi="Segoe UI" w:eastAsia="Arial Unicode MS" w:cs="Segoe UI"/>
          <w:sz w:val="16"/>
          <w:szCs w:val="16"/>
          <w:lang w:eastAsia="hi-IN" w:bidi="hi-IN"/>
        </w:rPr>
      </w:pPr>
      <w:r>
        <w:rPr>
          <w:rFonts w:eastAsia="Arial Unicode MS" w:cs="Segoe UI" w:ascii="Segoe UI" w:hAnsi="Segoe UI"/>
          <w:sz w:val="16"/>
          <w:szCs w:val="16"/>
          <w:lang w:eastAsia="hi-IN" w:bidi="hi-IN"/>
        </w:rPr>
      </w:r>
    </w:p>
    <w:p>
      <w:pPr>
        <w:pStyle w:val="NormalWeb"/>
        <w:spacing w:before="0" w:after="0"/>
        <w:rPr>
          <w:rFonts w:ascii="Segoe UI" w:hAnsi="Segoe UI" w:eastAsia="Arial Unicode MS" w:cs="Segoe UI"/>
          <w:sz w:val="16"/>
          <w:szCs w:val="16"/>
          <w:lang w:eastAsia="hi-IN" w:bidi="hi-IN"/>
        </w:rPr>
      </w:pPr>
      <w:r>
        <w:rPr>
          <w:rFonts w:eastAsia="Arial Unicode MS" w:cs="Segoe UI" w:ascii="Segoe UI" w:hAnsi="Segoe UI"/>
          <w:sz w:val="16"/>
          <w:szCs w:val="16"/>
          <w:lang w:eastAsia="hi-IN" w:bidi="hi-IN"/>
        </w:rPr>
      </w:r>
    </w:p>
    <w:p>
      <w:pPr>
        <w:pStyle w:val="NormalWeb"/>
        <w:spacing w:before="0" w:after="0"/>
        <w:rPr>
          <w:rFonts w:ascii="Segoe UI" w:hAnsi="Segoe UI" w:eastAsia="Arial Unicode MS" w:cs="Segoe UI"/>
          <w:sz w:val="16"/>
          <w:szCs w:val="16"/>
          <w:lang w:eastAsia="hi-IN" w:bidi="hi-IN"/>
        </w:rPr>
      </w:pPr>
      <w:r>
        <w:rPr>
          <w:rFonts w:eastAsia="Arial Unicode MS" w:cs="Segoe UI" w:ascii="Segoe UI" w:hAnsi="Segoe UI"/>
          <w:sz w:val="16"/>
          <w:szCs w:val="16"/>
          <w:lang w:eastAsia="hi-IN" w:bidi="hi-IN"/>
        </w:rPr>
      </w:r>
    </w:p>
    <w:p>
      <w:pPr>
        <w:pStyle w:val="NormalWeb"/>
        <w:spacing w:before="0" w:after="0"/>
        <w:rPr>
          <w:rFonts w:ascii="Segoe UI" w:hAnsi="Segoe UI" w:eastAsia="Arial Unicode MS" w:cs="Segoe UI"/>
          <w:sz w:val="16"/>
          <w:szCs w:val="16"/>
          <w:lang w:eastAsia="hi-IN" w:bidi="hi-IN"/>
        </w:rPr>
      </w:pPr>
      <w:r>
        <w:rPr>
          <w:rFonts w:eastAsia="Arial Unicode MS" w:cs="Segoe UI" w:ascii="Segoe UI" w:hAnsi="Segoe UI"/>
          <w:sz w:val="16"/>
          <w:szCs w:val="16"/>
          <w:lang w:eastAsia="hi-IN" w:bidi="hi-IN"/>
        </w:rPr>
      </w:r>
    </w:p>
    <w:p>
      <w:pPr>
        <w:pStyle w:val="NormalWeb"/>
        <w:spacing w:before="0" w:after="0"/>
        <w:rPr>
          <w:rFonts w:ascii="Segoe UI" w:hAnsi="Segoe UI" w:eastAsia="Arial Unicode MS" w:cs="Segoe UI"/>
          <w:sz w:val="16"/>
          <w:szCs w:val="16"/>
          <w:lang w:eastAsia="hi-IN" w:bidi="hi-IN"/>
        </w:rPr>
      </w:pPr>
      <w:r>
        <w:rPr>
          <w:rFonts w:eastAsia="Arial Unicode MS" w:cs="Segoe UI" w:ascii="Segoe UI" w:hAnsi="Segoe UI"/>
          <w:sz w:val="16"/>
          <w:szCs w:val="16"/>
          <w:lang w:eastAsia="hi-IN" w:bidi="hi-IN"/>
        </w:rPr>
      </w:r>
    </w:p>
    <w:p>
      <w:pPr>
        <w:pStyle w:val="NormalWeb"/>
        <w:spacing w:before="0" w:after="0"/>
        <w:rPr>
          <w:rFonts w:ascii="Segoe UI" w:hAnsi="Segoe UI" w:eastAsia="Arial Unicode MS" w:cs="Segoe UI"/>
          <w:sz w:val="16"/>
          <w:szCs w:val="16"/>
          <w:lang w:eastAsia="hi-IN" w:bidi="hi-IN"/>
        </w:rPr>
      </w:pPr>
      <w:r>
        <w:rPr>
          <w:rFonts w:eastAsia="Arial Unicode MS" w:cs="Segoe UI" w:ascii="Segoe UI" w:hAnsi="Segoe UI"/>
          <w:sz w:val="16"/>
          <w:szCs w:val="16"/>
          <w:lang w:eastAsia="hi-IN" w:bidi="hi-IN"/>
        </w:rPr>
      </w:r>
    </w:p>
    <w:p>
      <w:pPr>
        <w:pStyle w:val="NormalWeb"/>
        <w:spacing w:before="0" w:after="0"/>
        <w:rPr>
          <w:rFonts w:ascii="Segoe UI" w:hAnsi="Segoe UI" w:eastAsia="Arial Unicode MS" w:cs="Segoe UI"/>
          <w:sz w:val="16"/>
          <w:szCs w:val="16"/>
          <w:lang w:eastAsia="hi-IN" w:bidi="hi-IN"/>
        </w:rPr>
      </w:pPr>
      <w:r>
        <w:rPr>
          <w:rFonts w:eastAsia="Arial Unicode MS" w:cs="Segoe UI" w:ascii="Segoe UI" w:hAnsi="Segoe UI"/>
          <w:sz w:val="16"/>
          <w:szCs w:val="16"/>
          <w:lang w:eastAsia="hi-IN" w:bidi="hi-IN"/>
        </w:rPr>
      </w:r>
    </w:p>
    <w:p>
      <w:pPr>
        <w:pStyle w:val="NormalWeb"/>
        <w:spacing w:before="0" w:after="0"/>
        <w:rPr/>
      </w:pPr>
      <w:r>
        <w:rPr>
          <w:rFonts w:eastAsia="Arial Unicode MS" w:cs="Segoe UI" w:ascii="Segoe UI" w:hAnsi="Segoe UI"/>
          <w:sz w:val="16"/>
          <w:szCs w:val="16"/>
          <w:lang w:eastAsia="hi-IN" w:bidi="hi-IN"/>
        </w:rPr>
        <w:t>Пресс-служба</w:t>
        <w:br/>
        <w:t>Федеральной кадастровой палаты </w:t>
        <w:br/>
        <w:t>по Челябинской области</w:t>
        <w:br/>
      </w:r>
      <w:r>
        <w:rPr>
          <w:rFonts w:eastAsia="Arial Unicode MS" w:cs="Segoe UI" w:ascii="Segoe UI" w:hAnsi="Segoe UI"/>
          <w:b/>
          <w:bCs/>
          <w:sz w:val="16"/>
          <w:szCs w:val="16"/>
          <w:lang w:eastAsia="hi-IN" w:bidi="hi-IN"/>
        </w:rPr>
        <w:t>Тел</w:t>
      </w:r>
      <w:r>
        <w:rPr>
          <w:rFonts w:eastAsia="Arial Unicode MS" w:cs="Segoe UI" w:ascii="Segoe UI" w:hAnsi="Segoe UI"/>
          <w:sz w:val="16"/>
          <w:szCs w:val="16"/>
          <w:lang w:eastAsia="hi-IN" w:bidi="hi-IN"/>
        </w:rPr>
        <w:t>. 8 (351) 728-75-00 (внутренний номер  2291, 2162),</w:t>
        <w:br/>
      </w:r>
      <w:r>
        <w:rPr>
          <w:rFonts w:eastAsia="Arial Unicode MS" w:cs="Segoe UI" w:ascii="Segoe UI" w:hAnsi="Segoe UI"/>
          <w:b/>
          <w:bCs/>
          <w:sz w:val="16"/>
          <w:szCs w:val="16"/>
          <w:lang w:eastAsia="hi-IN" w:bidi="hi-IN"/>
        </w:rPr>
        <w:t>E-mail</w:t>
      </w:r>
      <w:r>
        <w:rPr>
          <w:rFonts w:eastAsia="Arial Unicode MS" w:cs="Segoe UI" w:ascii="Segoe UI" w:hAnsi="Segoe UI"/>
          <w:sz w:val="16"/>
          <w:szCs w:val="16"/>
          <w:lang w:eastAsia="hi-IN" w:bidi="hi-IN"/>
        </w:rPr>
        <w:t>: </w:t>
      </w:r>
      <w:hyperlink r:id="rId3">
        <w:r>
          <w:rPr>
            <w:rStyle w:val="WW"/>
            <w:rFonts w:eastAsia="Arial Unicode MS" w:cs="Segoe UI" w:ascii="Segoe UI" w:hAnsi="Segoe UI"/>
            <w:sz w:val="16"/>
            <w:szCs w:val="16"/>
            <w:lang w:eastAsia="hi-IN" w:bidi="hi-IN"/>
          </w:rPr>
          <w:t>pressafgu74@mail.ru</w:t>
        </w:r>
      </w:hyperlink>
      <w:r>
        <w:rPr>
          <w:rFonts w:eastAsia="Arial Unicode MS" w:cs="Segoe UI" w:ascii="Segoe UI" w:hAnsi="Segoe UI"/>
          <w:sz w:val="16"/>
          <w:szCs w:val="16"/>
          <w:lang w:eastAsia="hi-IN" w:bidi="hi-IN"/>
        </w:rPr>
        <w:t> </w:t>
        <w:br/>
      </w:r>
      <w:r>
        <w:rPr>
          <w:rFonts w:eastAsia="Arial Unicode MS" w:cs="Segoe UI" w:ascii="Segoe UI" w:hAnsi="Segoe UI"/>
          <w:b/>
          <w:bCs/>
          <w:sz w:val="16"/>
          <w:szCs w:val="16"/>
          <w:lang w:eastAsia="hi-IN" w:bidi="hi-IN"/>
        </w:rPr>
        <w:t>Сайт</w:t>
      </w:r>
      <w:r>
        <w:rPr>
          <w:rFonts w:eastAsia="Arial Unicode MS" w:cs="Segoe UI" w:ascii="Segoe UI" w:hAnsi="Segoe UI"/>
          <w:sz w:val="16"/>
          <w:szCs w:val="16"/>
          <w:lang w:eastAsia="hi-IN" w:bidi="hi-IN"/>
        </w:rPr>
        <w:t>: </w:t>
      </w:r>
      <w:hyperlink r:id="rId4">
        <w:r>
          <w:rPr>
            <w:rStyle w:val="WW"/>
            <w:rFonts w:eastAsia="Arial Unicode MS" w:cs="Segoe UI" w:ascii="Segoe UI" w:hAnsi="Segoe UI"/>
            <w:sz w:val="16"/>
            <w:szCs w:val="16"/>
            <w:lang w:eastAsia="hi-IN" w:bidi="hi-IN"/>
          </w:rPr>
          <w:t>kadastr.ru</w:t>
        </w:r>
      </w:hyperlink>
      <w:r>
        <w:rPr>
          <w:rFonts w:eastAsia="Arial Unicode MS" w:cs="Segoe UI" w:ascii="Segoe UI" w:hAnsi="Segoe UI"/>
          <w:sz w:val="16"/>
          <w:szCs w:val="16"/>
          <w:lang w:eastAsia="hi-IN" w:bidi="hi-IN"/>
        </w:rPr>
        <w:t> (регион - Челябинская область)</w:t>
        <w:br/>
      </w:r>
      <w:r>
        <w:rPr>
          <w:rFonts w:eastAsia="Arial Unicode MS" w:cs="Segoe UI" w:ascii="Segoe UI" w:hAnsi="Segoe UI"/>
          <w:b/>
          <w:bCs/>
          <w:sz w:val="16"/>
          <w:szCs w:val="16"/>
          <w:lang w:eastAsia="hi-IN" w:bidi="hi-IN"/>
        </w:rPr>
        <w:t>ВКонтакте</w:t>
      </w:r>
      <w:r>
        <w:rPr>
          <w:rFonts w:eastAsia="Arial Unicode MS" w:cs="Segoe UI" w:ascii="Segoe UI" w:hAnsi="Segoe UI"/>
          <w:sz w:val="16"/>
          <w:szCs w:val="16"/>
          <w:lang w:eastAsia="hi-IN" w:bidi="hi-IN"/>
        </w:rPr>
        <w:t>: </w:t>
      </w:r>
      <w:hyperlink r:id="rId5">
        <w:bookmarkEnd w:id="2"/>
        <w:r>
          <w:rPr>
            <w:rStyle w:val="WW"/>
            <w:rFonts w:eastAsia="Arial Unicode MS" w:cs="Segoe UI" w:ascii="Segoe UI" w:hAnsi="Segoe UI"/>
            <w:sz w:val="16"/>
            <w:szCs w:val="16"/>
            <w:lang w:eastAsia="hi-IN" w:bidi="hi-IN"/>
          </w:rPr>
          <w:t>vk.com/fkp74</w:t>
        </w:r>
      </w:hyperlink>
    </w:p>
    <w:p>
      <w:pPr>
        <w:pStyle w:val="Normal"/>
        <w:spacing w:lineRule="auto" w:line="360" w:before="0" w:after="160"/>
        <w:ind w:firstLine="567"/>
        <w:jc w:val="both"/>
        <w:rPr/>
      </w:pPr>
      <w:r>
        <w:rPr/>
      </w:r>
    </w:p>
    <w:sectPr>
      <w:type w:val="nextPage"/>
      <w:pgSz w:w="11906" w:h="16838"/>
      <w:pgMar w:left="1276" w:right="707"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8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Заголовок 1"/>
    <w:basedOn w:val="Style15"/>
    <w:pPr/>
    <w:rPr/>
  </w:style>
  <w:style w:type="paragraph" w:styleId="2">
    <w:name w:val="Заголовок 2"/>
    <w:basedOn w:val="Style15"/>
    <w:pPr/>
    <w:rPr/>
  </w:style>
  <w:style w:type="paragraph" w:styleId="3">
    <w:name w:val="Заголовок 3"/>
    <w:basedOn w:val="Style15"/>
    <w:pPr/>
    <w:rPr/>
  </w:style>
  <w:style w:type="character" w:styleId="DefaultParagraphFont" w:default="1">
    <w:name w:val="Default Paragraph Font"/>
    <w:uiPriority w:val="1"/>
    <w:semiHidden/>
    <w:unhideWhenUsed/>
    <w:qFormat/>
    <w:rPr/>
  </w:style>
  <w:style w:type="character" w:styleId="Style11" w:customStyle="1">
    <w:name w:val="Интернет-ссылка"/>
    <w:basedOn w:val="DefaultParagraphFont"/>
    <w:uiPriority w:val="99"/>
    <w:unhideWhenUsed/>
    <w:rsid w:val="00e046cb"/>
    <w:rPr>
      <w:color w:val="0000FF"/>
      <w:u w:val="single"/>
    </w:rPr>
  </w:style>
  <w:style w:type="character" w:styleId="Qatextwrap" w:customStyle="1">
    <w:name w:val="qa-text-wrap"/>
    <w:basedOn w:val="DefaultParagraphFont"/>
    <w:qFormat/>
    <w:rsid w:val="00d33c4a"/>
    <w:rPr/>
  </w:style>
  <w:style w:type="character" w:styleId="Qahint" w:customStyle="1">
    <w:name w:val="qa-hint"/>
    <w:basedOn w:val="DefaultParagraphFont"/>
    <w:qFormat/>
    <w:rsid w:val="00d33c4a"/>
    <w:rPr/>
  </w:style>
  <w:style w:type="character" w:styleId="Annotationreference">
    <w:name w:val="annotation reference"/>
    <w:basedOn w:val="DefaultParagraphFont"/>
    <w:uiPriority w:val="99"/>
    <w:semiHidden/>
    <w:unhideWhenUsed/>
    <w:qFormat/>
    <w:rsid w:val="00637ecf"/>
    <w:rPr>
      <w:sz w:val="16"/>
      <w:szCs w:val="16"/>
    </w:rPr>
  </w:style>
  <w:style w:type="character" w:styleId="Style12" w:customStyle="1">
    <w:name w:val="Текст примечания Знак"/>
    <w:basedOn w:val="DefaultParagraphFont"/>
    <w:uiPriority w:val="99"/>
    <w:semiHidden/>
    <w:qFormat/>
    <w:rsid w:val="00637ecf"/>
    <w:rPr>
      <w:sz w:val="20"/>
      <w:szCs w:val="20"/>
    </w:rPr>
  </w:style>
  <w:style w:type="character" w:styleId="Style13" w:customStyle="1">
    <w:name w:val="Тема примечания Знак"/>
    <w:basedOn w:val="Style12"/>
    <w:uiPriority w:val="99"/>
    <w:semiHidden/>
    <w:qFormat/>
    <w:rsid w:val="00637ecf"/>
    <w:rPr>
      <w:b/>
      <w:bCs/>
      <w:sz w:val="20"/>
      <w:szCs w:val="20"/>
    </w:rPr>
  </w:style>
  <w:style w:type="character" w:styleId="Style14" w:customStyle="1">
    <w:name w:val="Текст выноски Знак"/>
    <w:basedOn w:val="DefaultParagraphFont"/>
    <w:uiPriority w:val="99"/>
    <w:semiHidden/>
    <w:qFormat/>
    <w:rsid w:val="00637ecf"/>
    <w:rPr>
      <w:rFonts w:ascii="Segoe UI" w:hAnsi="Segoe UI" w:cs="Segoe UI"/>
      <w:sz w:val="18"/>
      <w:szCs w:val="18"/>
    </w:rPr>
  </w:style>
  <w:style w:type="character" w:styleId="FollowedHyperlink">
    <w:name w:val="FollowedHyperlink"/>
    <w:basedOn w:val="DefaultParagraphFont"/>
    <w:uiPriority w:val="99"/>
    <w:semiHidden/>
    <w:unhideWhenUsed/>
    <w:qFormat/>
    <w:rsid w:val="00d70b18"/>
    <w:rPr>
      <w:color w:val="954F72" w:themeColor="followedHyperlink"/>
      <w:u w:val="single"/>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ListLabel10" w:customStyle="1">
    <w:name w:val="ListLabel 10"/>
    <w:qFormat/>
    <w:rPr>
      <w:sz w:val="20"/>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WW" w:customStyle="1">
    <w:name w:val="WW-Интернет-ссылка"/>
    <w:qFormat/>
    <w:rPr>
      <w:color w:val="0000FF"/>
      <w:u w:val="single"/>
    </w:rPr>
  </w:style>
  <w:style w:type="paragraph" w:styleId="Style15" w:customStyle="1">
    <w:name w:val="Заголовок"/>
    <w:basedOn w:val="Normal"/>
    <w:next w:val="Style16"/>
    <w:qFormat/>
    <w:pPr>
      <w:keepNext/>
      <w:spacing w:before="240" w:after="120"/>
    </w:pPr>
    <w:rPr>
      <w:rFonts w:ascii="Liberation Sans" w:hAnsi="Liberation Sans" w:eastAsia="Lucida Sans Unicode"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NormalWeb">
    <w:name w:val="Normal (Web)"/>
    <w:basedOn w:val="Normal"/>
    <w:uiPriority w:val="99"/>
    <w:qFormat/>
    <w:pPr>
      <w:spacing w:before="280" w:after="280"/>
    </w:pPr>
    <w:rPr>
      <w:rFonts w:eastAsia="Times New Roman"/>
      <w:color w:val="000000"/>
    </w:rPr>
  </w:style>
  <w:style w:type="paragraph" w:styleId="Annotationtext">
    <w:name w:val="annotation text"/>
    <w:basedOn w:val="Normal"/>
    <w:uiPriority w:val="99"/>
    <w:semiHidden/>
    <w:unhideWhenUsed/>
    <w:qFormat/>
    <w:rsid w:val="00637ecf"/>
    <w:pPr>
      <w:spacing w:lineRule="auto" w:line="240"/>
    </w:pPr>
    <w:rPr>
      <w:sz w:val="20"/>
      <w:szCs w:val="20"/>
    </w:rPr>
  </w:style>
  <w:style w:type="paragraph" w:styleId="Annotationsubject">
    <w:name w:val="annotation subject"/>
    <w:basedOn w:val="Annotationtext"/>
    <w:uiPriority w:val="99"/>
    <w:semiHidden/>
    <w:unhideWhenUsed/>
    <w:qFormat/>
    <w:rsid w:val="00637ecf"/>
    <w:pPr/>
    <w:rPr>
      <w:b/>
      <w:bCs/>
    </w:rPr>
  </w:style>
  <w:style w:type="paragraph" w:styleId="BalloonText">
    <w:name w:val="Balloon Text"/>
    <w:basedOn w:val="Normal"/>
    <w:uiPriority w:val="99"/>
    <w:semiHidden/>
    <w:unhideWhenUsed/>
    <w:qFormat/>
    <w:rsid w:val="00637ecf"/>
    <w:pPr>
      <w:spacing w:lineRule="auto" w:line="240" w:before="0" w:after="0"/>
    </w:pPr>
    <w:rPr>
      <w:rFonts w:ascii="Segoe UI" w:hAnsi="Segoe UI" w:cs="Segoe UI"/>
      <w:sz w:val="18"/>
      <w:szCs w:val="18"/>
    </w:rPr>
  </w:style>
  <w:style w:type="paragraph" w:styleId="Style20">
    <w:name w:val="Блочная цитата"/>
    <w:basedOn w:val="Normal"/>
    <w:qFormat/>
    <w:pPr/>
    <w:rPr/>
  </w:style>
  <w:style w:type="paragraph" w:styleId="Style21">
    <w:name w:val="Заглавие"/>
    <w:basedOn w:val="Style15"/>
    <w:pPr/>
    <w:rPr/>
  </w:style>
  <w:style w:type="paragraph" w:styleId="Style22">
    <w:name w:val="Подзаголовок"/>
    <w:basedOn w:val="Style15"/>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essafgu74@mail.ru" TargetMode="External"/><Relationship Id="rId4" Type="http://schemas.openxmlformats.org/officeDocument/2006/relationships/hyperlink" Target="http://kadastr.ru/site/press/news.htm" TargetMode="External"/><Relationship Id="rId5" Type="http://schemas.openxmlformats.org/officeDocument/2006/relationships/hyperlink" Target="http://https/vk.com/fkp74"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431E-CB75-4C0D-A4D8-6EB879A3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LibreOffice/4.4.4.3$Windows_x86 LibreOffice_project/2c39ebcf046445232b798108aa8a7e7d89552ea8</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2020-01-17T16:01:00Z</dcterms:created>
  <dc:creator>Игошина Екатерина Викторовна</dc:creator>
  <dc:language>ru-RU</dc:language>
  <cp:lastModifiedBy>111</cp:lastModifiedBy>
  <dcterms:modified xsi:type="dcterms:W3CDTF">2020-01-29T16:19:22Z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