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E27383">
        <w:rPr>
          <w:sz w:val="28"/>
          <w:szCs w:val="28"/>
        </w:rPr>
        <w:t>0</w:t>
      </w:r>
      <w:r w:rsidR="0034381D">
        <w:rPr>
          <w:sz w:val="28"/>
          <w:szCs w:val="28"/>
        </w:rPr>
        <w:t>5</w:t>
      </w:r>
      <w:r w:rsidRPr="00CF0A97">
        <w:rPr>
          <w:sz w:val="28"/>
          <w:szCs w:val="28"/>
        </w:rPr>
        <w:t>.0</w:t>
      </w:r>
      <w:r w:rsidR="00E27383">
        <w:rPr>
          <w:sz w:val="28"/>
          <w:szCs w:val="28"/>
        </w:rPr>
        <w:t>7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34381D" w:rsidRDefault="0034381D" w:rsidP="0034381D">
      <w:pPr>
        <w:pStyle w:val="1"/>
        <w:spacing w:after="0" w:line="360" w:lineRule="auto"/>
        <w:jc w:val="center"/>
        <w:rPr>
          <w:b/>
        </w:rPr>
      </w:pPr>
      <w:r w:rsidRPr="000334B3">
        <w:rPr>
          <w:b/>
        </w:rPr>
        <w:t>В реестр границ ЕГРН внесены сведения о 131 охотничьем угодье Челябинской области</w:t>
      </w:r>
    </w:p>
    <w:p w:rsidR="0034381D" w:rsidRDefault="0034381D" w:rsidP="0034381D">
      <w:pPr>
        <w:pStyle w:val="1"/>
        <w:spacing w:after="0" w:line="360" w:lineRule="auto"/>
        <w:ind w:firstLine="720"/>
        <w:jc w:val="both"/>
        <w:rPr>
          <w:b/>
        </w:rPr>
      </w:pPr>
    </w:p>
    <w:p w:rsidR="0034381D" w:rsidRDefault="0034381D" w:rsidP="0034381D">
      <w:pPr>
        <w:pStyle w:val="1"/>
        <w:spacing w:after="0" w:line="360" w:lineRule="auto"/>
        <w:ind w:firstLine="720"/>
        <w:jc w:val="both"/>
      </w:pPr>
      <w:r>
        <w:rPr>
          <w:rStyle w:val="a7"/>
          <w:i/>
          <w:iCs/>
        </w:rPr>
        <w:t>Управление Росреестра по Челябинской области</w:t>
      </w:r>
      <w:r w:rsidR="0017529A">
        <w:rPr>
          <w:rStyle w:val="a7"/>
          <w:i/>
          <w:iCs/>
        </w:rPr>
        <w:t xml:space="preserve"> и региональная Кадастровая палата сообщаю</w:t>
      </w:r>
      <w:r>
        <w:rPr>
          <w:rStyle w:val="a7"/>
          <w:i/>
          <w:iCs/>
        </w:rPr>
        <w:t xml:space="preserve">т, что в 2022 году завершены работы по внесению сведений об охотничьих угодьях в реестр границ Единого государственного реестра недвижимости (ЕГРН). Русско-Теченское, Межевое, </w:t>
      </w:r>
      <w:proofErr w:type="spellStart"/>
      <w:r>
        <w:rPr>
          <w:rStyle w:val="a7"/>
          <w:i/>
          <w:iCs/>
        </w:rPr>
        <w:t>Чернореченское</w:t>
      </w:r>
      <w:proofErr w:type="spellEnd"/>
      <w:r>
        <w:rPr>
          <w:rStyle w:val="a7"/>
          <w:i/>
          <w:iCs/>
        </w:rPr>
        <w:t xml:space="preserve">, Журавлиное, </w:t>
      </w:r>
      <w:proofErr w:type="spellStart"/>
      <w:r>
        <w:rPr>
          <w:rStyle w:val="a7"/>
          <w:i/>
          <w:iCs/>
        </w:rPr>
        <w:t>Каспаровское</w:t>
      </w:r>
      <w:proofErr w:type="spellEnd"/>
      <w:r>
        <w:rPr>
          <w:rStyle w:val="a7"/>
          <w:i/>
          <w:iCs/>
        </w:rPr>
        <w:t xml:space="preserve">, Тишки и </w:t>
      </w:r>
      <w:proofErr w:type="spellStart"/>
      <w:r>
        <w:rPr>
          <w:rStyle w:val="a7"/>
          <w:i/>
          <w:iCs/>
        </w:rPr>
        <w:t>Бахта</w:t>
      </w:r>
      <w:proofErr w:type="spellEnd"/>
      <w:r>
        <w:rPr>
          <w:rStyle w:val="a7"/>
          <w:i/>
          <w:iCs/>
        </w:rPr>
        <w:t xml:space="preserve">, Зелёная долина и Медвежья радость – это лишь начало перечня охотничьих угодий, находящихся на территории региона. Всего в государственном </w:t>
      </w:r>
      <w:proofErr w:type="spellStart"/>
      <w:r>
        <w:rPr>
          <w:rStyle w:val="a7"/>
          <w:i/>
          <w:iCs/>
        </w:rPr>
        <w:t>охотхозяйственном</w:t>
      </w:r>
      <w:proofErr w:type="spellEnd"/>
      <w:r>
        <w:rPr>
          <w:rStyle w:val="a7"/>
          <w:i/>
          <w:iCs/>
        </w:rPr>
        <w:t xml:space="preserve"> реестре Челябинской обла</w:t>
      </w:r>
      <w:r w:rsidR="0017529A">
        <w:rPr>
          <w:rStyle w:val="a7"/>
          <w:i/>
          <w:iCs/>
        </w:rPr>
        <w:t>сти содержится информация о 131 </w:t>
      </w:r>
      <w:r>
        <w:rPr>
          <w:rStyle w:val="a7"/>
          <w:i/>
          <w:iCs/>
        </w:rPr>
        <w:t>охотничьем угодье, теперь их границы и охотничьи ресурсы надёжно защищены.</w:t>
      </w:r>
    </w:p>
    <w:p w:rsidR="0034381D" w:rsidRDefault="0034381D" w:rsidP="0034381D">
      <w:pPr>
        <w:pStyle w:val="1"/>
        <w:spacing w:after="0" w:line="360" w:lineRule="auto"/>
        <w:ind w:firstLine="720"/>
        <w:jc w:val="both"/>
      </w:pPr>
    </w:p>
    <w:p w:rsidR="0034381D" w:rsidRDefault="0034381D" w:rsidP="0034381D">
      <w:pPr>
        <w:pStyle w:val="1"/>
        <w:spacing w:after="0" w:line="360" w:lineRule="auto"/>
        <w:ind w:firstLine="720"/>
        <w:jc w:val="both"/>
      </w:pPr>
      <w:r>
        <w:rPr>
          <w:rStyle w:val="a7"/>
          <w:iCs/>
        </w:rPr>
        <w:t xml:space="preserve">В Челябинской области постановлением Губернатора региона от 27 декабря 2018 года № 314 утверждено 131 охотничье угодье. В течение двух лет – с 2020 по 2022 год проводилась работа по внесению сведений о них в ЕГРН. Благодаря активной совместной работе Министерства экологии Челябинской области, Правительства Челябинской области и Кадастровой палаты по Челябинской области в текущем году сведения об охотничьих угодьях внесены в полном объеме. Завершили перечень учтённых в реестре границ в 2022 году закрепленные охотничьи угодья </w:t>
      </w:r>
      <w:proofErr w:type="spellStart"/>
      <w:r>
        <w:rPr>
          <w:rStyle w:val="a7"/>
          <w:iCs/>
        </w:rPr>
        <w:t>Биянское</w:t>
      </w:r>
      <w:proofErr w:type="spellEnd"/>
      <w:r>
        <w:rPr>
          <w:rStyle w:val="a7"/>
          <w:iCs/>
        </w:rPr>
        <w:t xml:space="preserve"> в Ашинском районе, </w:t>
      </w:r>
      <w:proofErr w:type="spellStart"/>
      <w:r>
        <w:rPr>
          <w:rStyle w:val="a7"/>
          <w:iCs/>
        </w:rPr>
        <w:t>Марыш</w:t>
      </w:r>
      <w:proofErr w:type="spellEnd"/>
      <w:r>
        <w:rPr>
          <w:rStyle w:val="a7"/>
          <w:iCs/>
        </w:rPr>
        <w:t xml:space="preserve"> в Нязепетровском</w:t>
      </w:r>
      <w:bookmarkStart w:id="0" w:name="_GoBack"/>
      <w:bookmarkEnd w:id="0"/>
      <w:r>
        <w:rPr>
          <w:rStyle w:val="a7"/>
          <w:iCs/>
        </w:rPr>
        <w:t xml:space="preserve"> районе, </w:t>
      </w:r>
      <w:proofErr w:type="spellStart"/>
      <w:r>
        <w:rPr>
          <w:rStyle w:val="a7"/>
          <w:iCs/>
        </w:rPr>
        <w:t>Златоустовское</w:t>
      </w:r>
      <w:proofErr w:type="spellEnd"/>
      <w:r>
        <w:rPr>
          <w:rStyle w:val="a7"/>
          <w:iCs/>
        </w:rPr>
        <w:t xml:space="preserve">, Варненское, Кизильское, Катав-Ивановское, </w:t>
      </w:r>
      <w:proofErr w:type="spellStart"/>
      <w:r>
        <w:rPr>
          <w:rStyle w:val="a7"/>
          <w:iCs/>
        </w:rPr>
        <w:t>Карталинское</w:t>
      </w:r>
      <w:proofErr w:type="spellEnd"/>
      <w:r>
        <w:rPr>
          <w:rStyle w:val="a7"/>
          <w:iCs/>
        </w:rPr>
        <w:t xml:space="preserve">, </w:t>
      </w:r>
      <w:proofErr w:type="spellStart"/>
      <w:r>
        <w:rPr>
          <w:rStyle w:val="a7"/>
          <w:iCs/>
        </w:rPr>
        <w:t>Саткинское</w:t>
      </w:r>
      <w:proofErr w:type="spellEnd"/>
      <w:r>
        <w:rPr>
          <w:rStyle w:val="a7"/>
          <w:iCs/>
        </w:rPr>
        <w:t xml:space="preserve"> и другие, а также общедоступные охотничьи угодья </w:t>
      </w:r>
      <w:proofErr w:type="spellStart"/>
      <w:r>
        <w:rPr>
          <w:rStyle w:val="a7"/>
          <w:iCs/>
        </w:rPr>
        <w:t>Шуйдинское</w:t>
      </w:r>
      <w:proofErr w:type="spellEnd"/>
      <w:r>
        <w:rPr>
          <w:rStyle w:val="a7"/>
          <w:iCs/>
        </w:rPr>
        <w:t xml:space="preserve"> в </w:t>
      </w:r>
      <w:r>
        <w:rPr>
          <w:rStyle w:val="a7"/>
          <w:bCs/>
          <w:iCs/>
        </w:rPr>
        <w:t xml:space="preserve">Катав-Ивановском районе и </w:t>
      </w:r>
      <w:proofErr w:type="spellStart"/>
      <w:r>
        <w:rPr>
          <w:rStyle w:val="a7"/>
          <w:bCs/>
          <w:iCs/>
        </w:rPr>
        <w:t>Усть-Катавском</w:t>
      </w:r>
      <w:proofErr w:type="spellEnd"/>
      <w:r>
        <w:rPr>
          <w:rStyle w:val="a7"/>
          <w:bCs/>
          <w:iCs/>
        </w:rPr>
        <w:t xml:space="preserve"> городском округе и Измайловское в Кизильском районе. </w:t>
      </w:r>
    </w:p>
    <w:p w:rsidR="0034381D" w:rsidRDefault="0034381D" w:rsidP="0034381D">
      <w:pPr>
        <w:pStyle w:val="1"/>
        <w:spacing w:after="0" w:line="360" w:lineRule="auto"/>
        <w:ind w:firstLine="720"/>
        <w:jc w:val="both"/>
      </w:pPr>
      <w:r>
        <w:rPr>
          <w:rStyle w:val="a7"/>
          <w:iCs/>
        </w:rPr>
        <w:t>«</w:t>
      </w:r>
      <w:r w:rsidRPr="00691114">
        <w:rPr>
          <w:rStyle w:val="a7"/>
          <w:i/>
          <w:iCs/>
        </w:rPr>
        <w:t>Челябинская область является пилотным регионом по реализации мероприятий федерального проекта «Национальная система пространственных данных» по вопросам качества данных ЕГРН и наполнения его необходимыми сведениями</w:t>
      </w:r>
      <w:r>
        <w:rPr>
          <w:rStyle w:val="a7"/>
          <w:iCs/>
        </w:rPr>
        <w:t xml:space="preserve">, – комментирует </w:t>
      </w:r>
      <w:r w:rsidRPr="00691114">
        <w:rPr>
          <w:rStyle w:val="a7"/>
          <w:b/>
          <w:iCs/>
        </w:rPr>
        <w:t>заместитель руководителя Управления Росреестра по Челябинской области Марина Воронина</w:t>
      </w:r>
      <w:r>
        <w:rPr>
          <w:rStyle w:val="a7"/>
          <w:iCs/>
        </w:rPr>
        <w:t xml:space="preserve">. – </w:t>
      </w:r>
      <w:r w:rsidRPr="00691114">
        <w:rPr>
          <w:rStyle w:val="a7"/>
          <w:i/>
          <w:iCs/>
        </w:rPr>
        <w:t>В рамках исполнения плана мероприятий («дорожной карты») по проекту «Наполнение Единого государственного реестра недвижимости необходимыми сведениями на 2022 – 2024 годы» в регионе проводятся работы по внесению в реестр границ ЕГРН информации о различных видах территорий. Одни из них – охотничьи угодья – территории, в границах которых допускается осуществление деятельности в сфере охотничьего хозяйства. Охотничьи угодья по требованиям действующего законодательства могут располагаться только на тех землях, правовой режим которых допускает использование их по этому назначению</w:t>
      </w:r>
      <w:r>
        <w:rPr>
          <w:rStyle w:val="a7"/>
          <w:i/>
          <w:iCs/>
        </w:rPr>
        <w:t>»</w:t>
      </w:r>
      <w:r>
        <w:rPr>
          <w:rStyle w:val="a7"/>
          <w:iCs/>
        </w:rPr>
        <w:t xml:space="preserve">. </w:t>
      </w:r>
    </w:p>
    <w:p w:rsidR="0034381D" w:rsidRDefault="0034381D" w:rsidP="0034381D">
      <w:pPr>
        <w:pStyle w:val="1"/>
        <w:spacing w:after="0" w:line="360" w:lineRule="auto"/>
        <w:ind w:firstLine="720"/>
        <w:jc w:val="both"/>
      </w:pPr>
      <w:r>
        <w:rPr>
          <w:rStyle w:val="a7"/>
          <w:i/>
          <w:iCs/>
        </w:rPr>
        <w:t xml:space="preserve"> «Внесение охотничьих угодий в реестр границ – очень важный этап в формировании полного и достоверного Единого государственного реестра недвижимости</w:t>
      </w:r>
      <w:r>
        <w:rPr>
          <w:rStyle w:val="a7"/>
          <w:iCs/>
        </w:rPr>
        <w:t xml:space="preserve">, – комментирует </w:t>
      </w:r>
      <w:r>
        <w:rPr>
          <w:rStyle w:val="a7"/>
          <w:b/>
          <w:iCs/>
        </w:rPr>
        <w:t>директор Кадастровой палаты по Челябинской области Ирина Воронина</w:t>
      </w:r>
      <w:r>
        <w:rPr>
          <w:rStyle w:val="a7"/>
          <w:iCs/>
        </w:rPr>
        <w:t xml:space="preserve">. – </w:t>
      </w:r>
      <w:r>
        <w:rPr>
          <w:rStyle w:val="a7"/>
          <w:i/>
          <w:iCs/>
        </w:rPr>
        <w:t xml:space="preserve">В границах угодий действует </w:t>
      </w:r>
      <w:r>
        <w:rPr>
          <w:rStyle w:val="a7"/>
          <w:i/>
          <w:iCs/>
        </w:rPr>
        <w:lastRenderedPageBreak/>
        <w:t>специальный особый режим использования территорий, установление этих границ происходит для рационального использования территорий и сохранности охотничьих ресурсов. На установленных и учтённых территориях разрешена деятельность в сфере охотничьего хозяйства. Сведения о расположении границ угодий можно посмотреть с помощью онлайн-сервиса Росреестра «Публичная кадастровая карта» (</w:t>
      </w:r>
      <w:hyperlink r:id="rId6" w:history="1">
        <w:r>
          <w:rPr>
            <w:rStyle w:val="a7"/>
            <w:i/>
            <w:iCs/>
          </w:rPr>
          <w:t>https://pkk5.rosreestr.ru/</w:t>
        </w:r>
      </w:hyperlink>
      <w:r>
        <w:rPr>
          <w:rStyle w:val="a7"/>
          <w:i/>
          <w:iCs/>
        </w:rPr>
        <w:t>).</w:t>
      </w:r>
    </w:p>
    <w:p w:rsidR="00E2564E" w:rsidRDefault="00E2564E" w:rsidP="00E2564E">
      <w:pPr>
        <w:jc w:val="both"/>
        <w:rPr>
          <w:rFonts w:asciiTheme="minorHAnsi" w:hAnsiTheme="minorHAnsi"/>
          <w:sz w:val="28"/>
          <w:szCs w:val="28"/>
        </w:rPr>
      </w:pPr>
    </w:p>
    <w:p w:rsidR="0054555F" w:rsidRPr="002C0D8F" w:rsidRDefault="0054555F" w:rsidP="0054555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p w:rsidR="007B6609" w:rsidRPr="0054555F" w:rsidRDefault="007B6609" w:rsidP="0054555F"/>
    <w:sectPr w:rsidR="007B6609" w:rsidRPr="0054555F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17529A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4381D"/>
    <w:rsid w:val="003465F2"/>
    <w:rsid w:val="00353FB9"/>
    <w:rsid w:val="0035714F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168DB"/>
    <w:rsid w:val="00930444"/>
    <w:rsid w:val="00A039F8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CE77AE"/>
    <w:rsid w:val="00D11B3D"/>
    <w:rsid w:val="00D77E67"/>
    <w:rsid w:val="00D95520"/>
    <w:rsid w:val="00DA46AE"/>
    <w:rsid w:val="00DD0B7C"/>
    <w:rsid w:val="00DF07FB"/>
    <w:rsid w:val="00E2564E"/>
    <w:rsid w:val="00E27383"/>
    <w:rsid w:val="00E53CE5"/>
    <w:rsid w:val="00E72752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5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43</cp:revision>
  <cp:lastPrinted>2022-07-05T04:11:00Z</cp:lastPrinted>
  <dcterms:created xsi:type="dcterms:W3CDTF">2020-02-13T12:18:00Z</dcterms:created>
  <dcterms:modified xsi:type="dcterms:W3CDTF">2022-07-05T04:40:00Z</dcterms:modified>
</cp:coreProperties>
</file>