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2BE0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14:paraId="27680C8A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ПРАВО РАЗМЕЩЕНИЯ  НЕСТАЦИОНАРНОГО ТОРГОВОГО ОБЪЕКТА</w:t>
      </w:r>
    </w:p>
    <w:p w14:paraId="5DB5CDA4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</w:p>
    <w:p w14:paraId="229EFFAC">
      <w:pPr>
        <w:tabs>
          <w:tab w:val="right" w:pos="935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г.Кышты</w:t>
      </w:r>
      <w:bookmarkStart w:id="0" w:name="z2"/>
      <w:bookmarkEnd w:id="0"/>
      <w:r>
        <w:rPr>
          <w:rFonts w:ascii="Times New Roman CYR" w:hAnsi="Times New Roman CYR" w:cs="Times New Roman CYR"/>
          <w:sz w:val="22"/>
          <w:szCs w:val="22"/>
        </w:rPr>
        <w:t>м                                                                                                                                  дата</w:t>
      </w:r>
    </w:p>
    <w:p w14:paraId="48C31C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003ADB0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Муниципальное образование Кыштымский городской округа, от имени которого выступает  Комитет по управлению имуществом администрации Кыштымского городского округа, в лице председателя __________, действующего на основании  положения о Комитете и постановления администрации Кыштымского городского округа от ____ № ______, итогового протокола по торгам от ______________,   именуемое в дальнейшем "Уполномоченный орган", с одной стороны, и___________________________________________________________________________</w:t>
      </w:r>
    </w:p>
    <w:p w14:paraId="6CF1E80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(наименование организации, Ф.И.О. индивидуального предпринимателя)</w:t>
      </w:r>
    </w:p>
    <w:p w14:paraId="175EFC6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14:paraId="3205FBE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(должность, Ф.И.О.)</w:t>
      </w:r>
    </w:p>
    <w:p w14:paraId="2A9E53E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14:paraId="1706274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 ___ в  дальнейшем  "Хозяйствующий субъект", с другой стороны, далее</w:t>
      </w:r>
    </w:p>
    <w:p w14:paraId="621D9E8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именуемые "Стороны", заключили настоящий Договор о нижеследующем.</w:t>
      </w:r>
    </w:p>
    <w:p w14:paraId="255711FC">
      <w:pPr>
        <w:pStyle w:val="6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102A3DC0">
      <w:pPr>
        <w:pStyle w:val="6"/>
        <w:ind w:left="720"/>
        <w:rPr>
          <w:rFonts w:ascii="Times New Roman" w:hAnsi="Times New Roman" w:cs="Times New Roman"/>
          <w:sz w:val="24"/>
          <w:szCs w:val="24"/>
        </w:rPr>
      </w:pPr>
    </w:p>
    <w:p w14:paraId="1859B6D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63"/>
      <w:bookmarkEnd w:id="1"/>
      <w:r>
        <w:rPr>
          <w:rFonts w:ascii="Times New Roman" w:hAnsi="Times New Roman" w:cs="Times New Roman"/>
          <w:sz w:val="24"/>
          <w:szCs w:val="24"/>
        </w:rPr>
        <w:t xml:space="preserve">    1.1.  Уполномоченный  орган предоставляет Хозяйствующему субъекту право на      размещение      нестационарного     торгового     объекта     (тип)</w:t>
      </w:r>
    </w:p>
    <w:p w14:paraId="44C7CB6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14:paraId="3FD2962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- Объект, для осуществления _________________________________________</w:t>
      </w:r>
    </w:p>
    <w:p w14:paraId="0CD6C29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(указать: розничной торговли, оказания какого вида услуг)</w:t>
      </w:r>
    </w:p>
    <w:p w14:paraId="1885D5F2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товарная специализация______________________________________________________</w:t>
      </w:r>
    </w:p>
    <w:p w14:paraId="3B24D01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______________________________________________________________</w:t>
      </w:r>
    </w:p>
    <w:p w14:paraId="0E4F539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  объекта   ___________  в соответствии  со  </w:t>
      </w:r>
      <w:r>
        <w:fldChar w:fldCharType="begin"/>
      </w:r>
      <w:r>
        <w:instrText xml:space="preserve"> HYPERLINK "consultantplus://offline/ref=0CF3DAF9887577D446AB0F6232C7508C4E4C5ADE1DB227F0DE286F71A4CA9A5C14C74CC01B1B1FAB7A405562z3Z0H"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схемой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размещения  нестационарных  торговых  объектов на  территории Кыштымского городского округа:</w:t>
      </w:r>
    </w:p>
    <w:p w14:paraId="1447079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FB4B7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(место расположения объекта)</w:t>
      </w:r>
    </w:p>
    <w:p w14:paraId="5A8A76E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 Настоящий  Договор  заключен  в соответствии со </w:t>
      </w:r>
      <w:r>
        <w:fldChar w:fldCharType="begin"/>
      </w:r>
      <w:r>
        <w:instrText xml:space="preserve"> HYPERLINK "consultantplus://offline/ref=0CF3DAF9887577D446AB0F6232C7508C4E4C5ADE1DB227F0DE286F71A4CA9A5C14C74CC01B1B1FAB7A405562z3Z0H"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схемой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размещения</w:t>
      </w:r>
    </w:p>
    <w:p w14:paraId="0D0187D8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нестационарных  торговых  объектов  на территории Кыштымского городского</w:t>
      </w:r>
    </w:p>
    <w:p w14:paraId="0EC514D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округа,  утвержденной</w:t>
      </w:r>
    </w:p>
    <w:p w14:paraId="39BDCF8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1D044B1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6DE8066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(указать реквизиты муниципального правового акта)</w:t>
      </w:r>
    </w:p>
    <w:p w14:paraId="794B726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81"/>
      <w:bookmarkEnd w:id="2"/>
      <w:r>
        <w:rPr>
          <w:rFonts w:ascii="Times New Roman" w:hAnsi="Times New Roman" w:cs="Times New Roman"/>
          <w:sz w:val="24"/>
          <w:szCs w:val="24"/>
        </w:rPr>
        <w:t xml:space="preserve">     1.3.  Период  размещения  объекта  устанавливается на срок _________  (с даты заключения договора НТО).</w:t>
      </w:r>
    </w:p>
    <w:p w14:paraId="39934B2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1.4.  Специализация  объекта  является существенным условием настоящего Договора.  Одностороннее изменение Хозяйствующим субъектом специализации не  допускается.</w:t>
      </w:r>
    </w:p>
    <w:p w14:paraId="62B69152">
      <w:pPr>
        <w:pStyle w:val="5"/>
        <w:jc w:val="both"/>
      </w:pPr>
    </w:p>
    <w:p w14:paraId="10F1F08D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2CA60B12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Уполномоченный орган вправе:</w:t>
      </w:r>
    </w:p>
    <w:p w14:paraId="79036DB4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Осуществлять контроль над выполнением Хозяйствующим субъектом условий настоящего Договора.</w:t>
      </w:r>
    </w:p>
    <w:p w14:paraId="13948D20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Договора.</w:t>
      </w:r>
    </w:p>
    <w:p w14:paraId="44F6CC7B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Уполномоченный орган обязан:</w:t>
      </w:r>
    </w:p>
    <w:p w14:paraId="4B0F6BF1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Предоставить Хозяйствующему субъекту право на размещение Объекта, который расположен по адресному ориентиру в соответствии со </w:t>
      </w:r>
      <w:r>
        <w:fldChar w:fldCharType="begin"/>
      </w:r>
      <w:r>
        <w:instrText xml:space="preserve"> HYPERLINK "consultantplus://offline/ref=0CF3DAF9887577D446AB0F6232C7508C4E4C5ADE1DB227F0DE286F71A4CA9A5C14C74CC01B1B1FAB7A405562z3Z0H"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схемой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территории Кыштымского городского округа.</w:t>
      </w:r>
    </w:p>
    <w:p w14:paraId="29ACCD8D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Хозяйствующий субъект вправе:</w:t>
      </w:r>
    </w:p>
    <w:p w14:paraId="65565B42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Досрочно отказаться от исполнения настоящего Договора по основаниям и в порядке, предусмотренном настоящим Договором и законодательством Российской Федерации.</w:t>
      </w:r>
    </w:p>
    <w:p w14:paraId="3CF7E64B">
      <w:pPr>
        <w:pStyle w:val="5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" w:name="P300"/>
      <w:bookmarkEnd w:id="3"/>
      <w:r>
        <w:rPr>
          <w:rFonts w:ascii="Times New Roman" w:hAnsi="Times New Roman" w:cs="Times New Roman"/>
          <w:sz w:val="24"/>
          <w:szCs w:val="24"/>
        </w:rPr>
        <w:t xml:space="preserve">2.4. Хозяйствующий </w:t>
      </w:r>
      <w:r>
        <w:rPr>
          <w:rFonts w:hint="default" w:ascii="Times New Roman" w:hAnsi="Times New Roman" w:cs="Times New Roman"/>
          <w:sz w:val="24"/>
          <w:szCs w:val="24"/>
        </w:rPr>
        <w:t>субъект обязан:</w:t>
      </w:r>
    </w:p>
    <w:p w14:paraId="0D4A93A1">
      <w:pPr>
        <w:pStyle w:val="5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4" w:name="P301"/>
      <w:bookmarkEnd w:id="4"/>
      <w:r>
        <w:rPr>
          <w:rFonts w:hint="default" w:ascii="Times New Roman" w:hAnsi="Times New Roman" w:cs="Times New Roman"/>
          <w:sz w:val="24"/>
          <w:szCs w:val="24"/>
        </w:rPr>
        <w:t>2.4.1. Обеспечить размещение Объекта и его готовность к использованию в соответствии с утвержденным архитектурным решением в срок не позднее трех месяцев, если иное не согласованно Сторонами.</w:t>
      </w:r>
    </w:p>
    <w:p w14:paraId="010E4CCD">
      <w:pPr>
        <w:pStyle w:val="5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2.4.2. По истечении срока, указанного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"P301"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п. 2.4.1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Договора, направить уполномоченному органу обращение для осмотра нестационарного торгового объекта приемочной комиссией.</w:t>
      </w:r>
    </w:p>
    <w:p w14:paraId="1CA508A0">
      <w:pPr>
        <w:pStyle w:val="5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2.4.3. Использовать Объект по назначению (товарной специализации), указанному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"P263"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пункте 1.1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Договора. 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 продуктов.</w:t>
      </w:r>
    </w:p>
    <w:p w14:paraId="0248A5CA">
      <w:pPr>
        <w:pStyle w:val="5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2.4.4. На фасаде нестационарного торгового объекта поместить вывеску с указанием фирменного наименования хозяйствующего субъекта, режима работы.</w:t>
      </w:r>
    </w:p>
    <w:p w14:paraId="380CF62F">
      <w:pPr>
        <w:pStyle w:val="5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2.4.5. Своевременно и полностью вносить (внести) плату по настоящему договору в размере и порядке, установленном настоящим Договором.</w:t>
      </w:r>
    </w:p>
    <w:p w14:paraId="78654863">
      <w:pPr>
        <w:shd w:val="clear" w:color="auto" w:fill="auto"/>
        <w:spacing w:before="0" w:after="0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2.4.6.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Все работы по размещению НТО осуществляются за счет собственных средств Хозяйствующего субъекта. </w:t>
      </w:r>
      <w:r>
        <w:rPr>
          <w:rFonts w:hint="default" w:ascii="Times New Roman" w:hAnsi="Times New Roman" w:cs="Times New Roman"/>
          <w:sz w:val="24"/>
          <w:szCs w:val="24"/>
        </w:rPr>
        <w:t>Размещаемый нестационарный торговый объект должен соответствовать требования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 Правил благоустройства Кыштымского городского округа.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 размещения самого объекта НТО </w:t>
      </w:r>
      <w:r>
        <w:rPr>
          <w:rFonts w:ascii="Times New Roman" w:hAnsi="Times New Roman" w:cs="Times New Roman"/>
          <w:sz w:val="24"/>
          <w:szCs w:val="24"/>
        </w:rPr>
        <w:t xml:space="preserve">Хозяйствующий </w:t>
      </w:r>
      <w:r>
        <w:rPr>
          <w:rFonts w:hint="default" w:ascii="Times New Roman" w:hAnsi="Times New Roman" w:cs="Times New Roman"/>
          <w:sz w:val="24"/>
          <w:szCs w:val="24"/>
        </w:rPr>
        <w:t>субъект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обязан предоставить на согласование эскизный проект, предусматривающий в</w:t>
      </w:r>
      <w:r>
        <w:rPr>
          <w:rFonts w:hint="default" w:ascii="Times New Roman" w:hAnsi="Times New Roman" w:cs="Times New Roman"/>
          <w:sz w:val="24"/>
          <w:szCs w:val="24"/>
        </w:rPr>
        <w:t xml:space="preserve">нешний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облик</w:t>
      </w:r>
      <w:r>
        <w:rPr>
          <w:rFonts w:hint="default" w:ascii="Times New Roman" w:hAnsi="Times New Roman" w:cs="Times New Roman"/>
          <w:sz w:val="24"/>
          <w:szCs w:val="24"/>
        </w:rPr>
        <w:t xml:space="preserve"> НТО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благоустройство вокруг него. Проект должен быть </w:t>
      </w:r>
      <w:r>
        <w:rPr>
          <w:rFonts w:hint="default" w:ascii="Times New Roman" w:hAnsi="Times New Roman" w:cs="Times New Roman"/>
          <w:sz w:val="24"/>
          <w:szCs w:val="24"/>
        </w:rPr>
        <w:t>согласован на градостроительном совете в администрации Кыштымского городского округа.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Размещение НТО без согласования внешнего облика объекта не допускается.</w:t>
      </w:r>
    </w:p>
    <w:p w14:paraId="644D4952">
      <w:pPr>
        <w:pStyle w:val="5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2.4.7. </w:t>
      </w:r>
      <w:r>
        <w:rPr>
          <w:rFonts w:hint="default" w:ascii="Times New Roman" w:hAnsi="Times New Roman" w:cs="Times New Roman"/>
          <w:sz w:val="24"/>
          <w:szCs w:val="24"/>
        </w:rPr>
        <w:t>Все работы по размещению НТО на земельном участке, условия подключения к инженерным сетям при необходимости должны быть согласованы с администрацией Кыштымского городского округа.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6" w:name="_GoBack"/>
      <w:bookmarkEnd w:id="6"/>
      <w:r>
        <w:rPr>
          <w:rFonts w:hint="default" w:ascii="Times New Roman" w:hAnsi="Times New Roman" w:cs="Times New Roman"/>
          <w:sz w:val="24"/>
          <w:szCs w:val="24"/>
        </w:rPr>
        <w:t>Обеспечить сохранение внешнего вида, типа, местоположения и размеров Объекта в течение установленного периода размещения.</w:t>
      </w:r>
    </w:p>
    <w:p w14:paraId="0402B897">
      <w:pPr>
        <w:pStyle w:val="5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14:paraId="77703E9C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 Не допускать загрязнение места размещения нестационарного торгового объекта. Обеспечить вывоз мусора и ин</w:t>
      </w:r>
      <w:r>
        <w:rPr>
          <w:rFonts w:ascii="Times New Roman" w:hAnsi="Times New Roman" w:cs="Times New Roman"/>
          <w:sz w:val="24"/>
          <w:szCs w:val="24"/>
        </w:rPr>
        <w:t>ых отходов от использования объекта.</w:t>
      </w:r>
    </w:p>
    <w:p w14:paraId="281EEAFF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>.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календарных дней с момента окончания срока действия Договора, а также в случае досрочного расторжения настоящего Договора.</w:t>
      </w:r>
    </w:p>
    <w:p w14:paraId="452A0A15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78D1B279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14:paraId="1FB8CCE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0F99D15A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азмер, сроки внесения платы на год устанавливаются в размере итоговой цены, объявленной на аукционе в сумме______________________________________________.</w:t>
      </w:r>
    </w:p>
    <w:p w14:paraId="1B0120D8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Плата в </w:t>
      </w:r>
      <w:r>
        <w:rPr>
          <w:rFonts w:ascii="Times New Roman" w:hAnsi="Times New Roman"/>
          <w:sz w:val="24"/>
          <w:szCs w:val="24"/>
        </w:rPr>
        <w:t xml:space="preserve">размере ежегодного платежа за размещение НТО </w:t>
      </w:r>
      <w:r>
        <w:rPr>
          <w:rFonts w:ascii="Times New Roman" w:hAnsi="Times New Roman" w:cs="Times New Roman"/>
          <w:sz w:val="24"/>
          <w:szCs w:val="24"/>
        </w:rPr>
        <w:t>по Договору неизменна в течение всего периода пользования участка.</w:t>
      </w:r>
    </w:p>
    <w:p w14:paraId="1555CC52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Плата начисляется и уплачивается с момента подписания Сторонами передаточного акта места размещения нестационарного торгового объекта.</w:t>
      </w:r>
    </w:p>
    <w:p w14:paraId="178C3511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Хозяйствующий субъект вносит </w:t>
      </w:r>
      <w:r>
        <w:rPr>
          <w:rFonts w:ascii="Times New Roman" w:hAnsi="Times New Roman"/>
          <w:sz w:val="24"/>
          <w:szCs w:val="24"/>
        </w:rPr>
        <w:t xml:space="preserve">размер ежегодного платежа за размещение НТО </w:t>
      </w:r>
      <w:r>
        <w:rPr>
          <w:rFonts w:ascii="Times New Roman" w:hAnsi="Times New Roman" w:cs="Times New Roman"/>
          <w:sz w:val="24"/>
          <w:szCs w:val="24"/>
        </w:rPr>
        <w:t>единовременно в течение 10 рабочих дней со дня подписания Уполномоченным органом и Хозяйствующим субъектом договора размещения НТО.</w:t>
      </w:r>
    </w:p>
    <w:p w14:paraId="3F430CB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4B1529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D77691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69083F3F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C6F394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 нарушение сроков внесения платы по Договору Хозяйствующий субъект выплачивает Уполномоченному органу пени из расчета 0,1 % от размера невнесенной суммы за каждый календарный день просрочки.</w:t>
      </w:r>
    </w:p>
    <w:p w14:paraId="51F4B65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случае размещения Объекта с нарушениями его вида, товарной специализации, места размещения, периода размещения Хозяйствующий субъект выплачивает Уполномоченному органу штраф в размере 10 % от платы по договору и возмещает все причиненные этим убытки.</w:t>
      </w:r>
    </w:p>
    <w:p w14:paraId="3403791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Стороны освобождаются от обязательств по Договору в случае наступления форс-мажорных обстоятельств в соответствии с законодательством Российской Федерации.</w:t>
      </w:r>
    </w:p>
    <w:p w14:paraId="0448AF77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Расторжение Договора</w:t>
      </w:r>
    </w:p>
    <w:p w14:paraId="7380085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1CE21CC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Договор может быть расторгнут по соглашению Сторон или по решению суда.</w:t>
      </w:r>
    </w:p>
    <w:p w14:paraId="2BF3373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Уполномоченный орган имеет право досрочно в одностороннем порядке отказаться от исполнения настоящего Договора по следующим основаниям:</w:t>
      </w:r>
    </w:p>
    <w:p w14:paraId="2C9959D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Невыполнение Хозяйствующим субъектом требований, указанных в </w:t>
      </w:r>
      <w:r>
        <w:fldChar w:fldCharType="begin"/>
      </w:r>
      <w:r>
        <w:instrText xml:space="preserve"> HYPERLINK \l "P300"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пункте 2.4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217B345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Прекращение Хозяйствующим субъектом в установленном законом порядке своей деятельности.</w:t>
      </w:r>
    </w:p>
    <w:p w14:paraId="324519B6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Нарушение Хозяйствующим субъектом установленной в предмете договора товарной специализации.</w:t>
      </w:r>
    </w:p>
    <w:p w14:paraId="1FF8251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5.2.4. Выявление несоответствия Объекта в натуре архитектурному решению (изменение внешнего вида, размеров, площади нестационарного торгового объекта в ходе его эксплуатации более чем на 10 %, возведение пристроек, надстройка дополнительных антресолей и этажей).</w:t>
      </w:r>
    </w:p>
    <w:p w14:paraId="0DB30819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5.2.5. Отказа Хозяйствующего субъекта подписать передаточный акт.</w:t>
      </w:r>
    </w:p>
    <w:p w14:paraId="284A516B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5.2.6. Эксплуатации НТО без утвержденного акта приемочной комиссии, по истечении трех месяцев с даты заключения Договора.</w:t>
      </w:r>
    </w:p>
    <w:p w14:paraId="46224166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При отказе от исполнения настоящего Договора в одностороннем порядке Уполномоченный орган направляет Хозяйствующему субъекту письменное уведомление. С момента направления указанного уведомления настоящий Договор будет считаться расторгнутым.</w:t>
      </w:r>
    </w:p>
    <w:p w14:paraId="2B33C37E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Уполномоченный орган имеет право досрочно расторгнуть настоящий договор в связи с принятием решений о предоставлении земельных участков для строительства, а также реконструкции и благоустройства территорий общего пользования, о чем извещает письменно хозяйствующего субъекта не менее, чем за 2 (два) месяца до начала соответствующих работ.</w:t>
      </w:r>
    </w:p>
    <w:p w14:paraId="7BDF7FA7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После расторжения договора Объект подлежит демонтажу Хозяйствующим субъектом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14:paraId="4831236D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Демонтаж Объекта в добровольном порядке производится Хозяйствующим субъектом за счет собственных средств в срок, указанный в предписании, выданном Уполномоченным органом. В случае невыполнения демонтажа Хозяйствующим субъектом в добровольном порядке в указанный в предписании срок Уполномоченный орган обращается с соответствующими требованиями в суд, если иной порядок демонтажа не предусмотрен действующим законодательством.</w:t>
      </w:r>
    </w:p>
    <w:p w14:paraId="2028ECE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5D145D3C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Прочие условия</w:t>
      </w:r>
    </w:p>
    <w:p w14:paraId="7149BD6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4F42D3A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Вопросы, не урегулированные настоящим Договором, разрешаются в соответствии с законодательством Российской Федерации.</w:t>
      </w:r>
    </w:p>
    <w:p w14:paraId="1677DA06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Договор составлен в двух экземплярах, каждый из которых имеет одинаковую юридическую силу.</w:t>
      </w:r>
    </w:p>
    <w:p w14:paraId="0EF3C464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Споры по Договору разрешаются в установленном законодательством порядке.</w:t>
      </w:r>
    </w:p>
    <w:p w14:paraId="38C1EA40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14:paraId="02445C64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Приложения к договору составляют его неотъемлемую часть:</w:t>
      </w:r>
    </w:p>
    <w:p w14:paraId="45F814F7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1- Передаточный </w:t>
      </w:r>
      <w:r>
        <w:fldChar w:fldCharType="begin"/>
      </w:r>
      <w:r>
        <w:instrText xml:space="preserve"> HYPERLINK \l "P449"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 Договору на право размещения нестационарного торгового объекта.</w:t>
      </w:r>
    </w:p>
    <w:p w14:paraId="5949311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67ECB4F0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Юридические адреса, реквизиты</w:t>
      </w:r>
    </w:p>
    <w:p w14:paraId="7EE651DF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подписи сторон</w:t>
      </w:r>
    </w:p>
    <w:p w14:paraId="64DFCD6C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</w:p>
    <w:p w14:paraId="78D89A5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28A63AA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Уполномоченный орган                Хозяйствующий субъект:</w:t>
      </w:r>
    </w:p>
    <w:p w14:paraId="0C25B98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______________________________________</w:t>
      </w:r>
    </w:p>
    <w:p w14:paraId="1E4ADF6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______________________________________</w:t>
      </w:r>
    </w:p>
    <w:p w14:paraId="39698C8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______________________________________</w:t>
      </w:r>
    </w:p>
    <w:p w14:paraId="2141A2B0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______________________________________</w:t>
      </w:r>
    </w:p>
    <w:p w14:paraId="6E0B0CE1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                     ____________________</w:t>
      </w:r>
    </w:p>
    <w:p w14:paraId="38FA16D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 _________________  _________________/ ___________________</w:t>
      </w:r>
    </w:p>
    <w:p w14:paraId="6D4BF15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М.П.                                   М.П.</w:t>
      </w:r>
    </w:p>
    <w:p w14:paraId="1576039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6B73F325">
      <w:pPr>
        <w:pStyle w:val="5"/>
        <w:jc w:val="both"/>
      </w:pPr>
    </w:p>
    <w:p w14:paraId="5A43BCFD">
      <w:pPr>
        <w:pStyle w:val="5"/>
        <w:jc w:val="both"/>
      </w:pPr>
    </w:p>
    <w:p w14:paraId="73B61B23">
      <w:pPr>
        <w:pStyle w:val="5"/>
        <w:jc w:val="both"/>
      </w:pPr>
    </w:p>
    <w:p w14:paraId="2C3BF6C4">
      <w:pPr>
        <w:pStyle w:val="5"/>
        <w:jc w:val="both"/>
      </w:pPr>
    </w:p>
    <w:p w14:paraId="13768A28">
      <w:pPr>
        <w:pStyle w:val="5"/>
        <w:jc w:val="both"/>
      </w:pPr>
    </w:p>
    <w:p w14:paraId="459EE8E9">
      <w:pPr>
        <w:pStyle w:val="5"/>
        <w:jc w:val="both"/>
      </w:pPr>
    </w:p>
    <w:p w14:paraId="7C5A1E50">
      <w:pPr>
        <w:pStyle w:val="5"/>
        <w:jc w:val="both"/>
      </w:pPr>
    </w:p>
    <w:p w14:paraId="2849E3F1">
      <w:pPr>
        <w:pStyle w:val="5"/>
        <w:jc w:val="both"/>
      </w:pPr>
    </w:p>
    <w:p w14:paraId="35BA5836">
      <w:pPr>
        <w:pStyle w:val="5"/>
        <w:jc w:val="both"/>
      </w:pPr>
    </w:p>
    <w:p w14:paraId="48D6EA48">
      <w:pPr>
        <w:pStyle w:val="5"/>
        <w:jc w:val="both"/>
      </w:pPr>
    </w:p>
    <w:p w14:paraId="77E69DC0">
      <w:pPr>
        <w:pStyle w:val="5"/>
        <w:jc w:val="both"/>
      </w:pPr>
    </w:p>
    <w:p w14:paraId="653EC788">
      <w:pPr>
        <w:pStyle w:val="5"/>
        <w:jc w:val="both"/>
      </w:pPr>
    </w:p>
    <w:p w14:paraId="3479A51E">
      <w:pPr>
        <w:pStyle w:val="5"/>
        <w:jc w:val="both"/>
      </w:pPr>
    </w:p>
    <w:p w14:paraId="39C03B47">
      <w:pPr>
        <w:pStyle w:val="5"/>
        <w:jc w:val="both"/>
      </w:pPr>
    </w:p>
    <w:p w14:paraId="1EAEE24B">
      <w:pPr>
        <w:pStyle w:val="5"/>
        <w:jc w:val="both"/>
      </w:pPr>
    </w:p>
    <w:p w14:paraId="362C265F">
      <w:pPr>
        <w:pStyle w:val="5"/>
        <w:jc w:val="both"/>
      </w:pPr>
    </w:p>
    <w:p w14:paraId="56C8DD28">
      <w:pPr>
        <w:pStyle w:val="5"/>
        <w:jc w:val="both"/>
      </w:pPr>
    </w:p>
    <w:p w14:paraId="72D92EC8">
      <w:pPr>
        <w:pStyle w:val="5"/>
        <w:jc w:val="both"/>
      </w:pPr>
    </w:p>
    <w:p w14:paraId="10E4940A">
      <w:pPr>
        <w:pStyle w:val="5"/>
        <w:jc w:val="both"/>
      </w:pPr>
    </w:p>
    <w:p w14:paraId="2C0FEDF8">
      <w:pPr>
        <w:pStyle w:val="5"/>
        <w:jc w:val="both"/>
      </w:pPr>
    </w:p>
    <w:p w14:paraId="7A290E9E">
      <w:pPr>
        <w:pStyle w:val="5"/>
        <w:jc w:val="both"/>
      </w:pPr>
    </w:p>
    <w:p w14:paraId="1422C733">
      <w:pPr>
        <w:pStyle w:val="5"/>
        <w:jc w:val="both"/>
      </w:pPr>
    </w:p>
    <w:p w14:paraId="1540B67D">
      <w:pPr>
        <w:pStyle w:val="5"/>
        <w:jc w:val="both"/>
      </w:pPr>
    </w:p>
    <w:p w14:paraId="6EA58D68">
      <w:pPr>
        <w:spacing w:after="160" w:line="259" w:lineRule="auto"/>
        <w:rPr>
          <w:rFonts w:ascii="Calibri" w:hAnsi="Calibri" w:cs="Calibri"/>
          <w:sz w:val="22"/>
        </w:rPr>
      </w:pPr>
      <w:r>
        <w:br w:type="page"/>
      </w:r>
    </w:p>
    <w:p w14:paraId="602ED13B">
      <w:pPr>
        <w:pStyle w:val="5"/>
        <w:jc w:val="both"/>
      </w:pPr>
    </w:p>
    <w:p w14:paraId="7F1DA769">
      <w:pPr>
        <w:pStyle w:val="5"/>
        <w:jc w:val="both"/>
      </w:pPr>
    </w:p>
    <w:p w14:paraId="6F1F7AA5">
      <w:pPr>
        <w:pStyle w:val="5"/>
        <w:jc w:val="right"/>
        <w:outlineLvl w:val="2"/>
      </w:pPr>
      <w:r>
        <w:t>Приложение 1</w:t>
      </w:r>
    </w:p>
    <w:p w14:paraId="25B10507">
      <w:pPr>
        <w:pStyle w:val="5"/>
        <w:jc w:val="right"/>
      </w:pPr>
      <w:r>
        <w:t>к Договору</w:t>
      </w:r>
    </w:p>
    <w:p w14:paraId="131AA567">
      <w:pPr>
        <w:pStyle w:val="5"/>
        <w:jc w:val="right"/>
      </w:pPr>
      <w:r>
        <w:t>на право размещения</w:t>
      </w:r>
    </w:p>
    <w:p w14:paraId="00481B51">
      <w:pPr>
        <w:pStyle w:val="5"/>
        <w:jc w:val="right"/>
      </w:pPr>
      <w:r>
        <w:t>нестационарного</w:t>
      </w:r>
    </w:p>
    <w:p w14:paraId="694C9D0F">
      <w:pPr>
        <w:pStyle w:val="5"/>
        <w:jc w:val="right"/>
      </w:pPr>
      <w:r>
        <w:t>торгового объекта</w:t>
      </w:r>
    </w:p>
    <w:p w14:paraId="3B322FDA">
      <w:pPr>
        <w:pStyle w:val="5"/>
        <w:jc w:val="both"/>
      </w:pPr>
    </w:p>
    <w:p w14:paraId="0F629989">
      <w:pPr>
        <w:pStyle w:val="6"/>
        <w:jc w:val="both"/>
        <w:rPr>
          <w:sz w:val="24"/>
          <w:szCs w:val="24"/>
        </w:rPr>
      </w:pPr>
      <w:bookmarkStart w:id="5" w:name="P449"/>
      <w:bookmarkEnd w:id="5"/>
      <w:r>
        <w:rPr>
          <w:sz w:val="24"/>
          <w:szCs w:val="24"/>
        </w:rPr>
        <w:t xml:space="preserve">                        ПЕРЕДАТОЧНЫЙ АКТ</w:t>
      </w:r>
    </w:p>
    <w:p w14:paraId="54A8E05B">
      <w:pPr>
        <w:pStyle w:val="6"/>
        <w:jc w:val="both"/>
      </w:pPr>
    </w:p>
    <w:p w14:paraId="6DB3D6C0">
      <w:pPr>
        <w:pStyle w:val="6"/>
        <w:jc w:val="both"/>
      </w:pPr>
    </w:p>
    <w:p w14:paraId="27427FD5">
      <w:pPr>
        <w:pStyle w:val="6"/>
        <w:jc w:val="both"/>
      </w:pPr>
    </w:p>
    <w:tbl>
      <w:tblPr>
        <w:tblStyle w:val="4"/>
        <w:tblW w:w="0" w:type="auto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5"/>
        <w:gridCol w:w="4952"/>
      </w:tblGrid>
      <w:tr w14:paraId="0E47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4" w:type="dxa"/>
          </w:tcPr>
          <w:p w14:paraId="3D2EE06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Кыштым</w:t>
            </w:r>
          </w:p>
        </w:tc>
        <w:tc>
          <w:tcPr>
            <w:tcW w:w="5138" w:type="dxa"/>
            <w:vAlign w:val="bottom"/>
          </w:tcPr>
          <w:p w14:paraId="4A648B7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«___»__________ г.</w:t>
            </w:r>
          </w:p>
        </w:tc>
      </w:tr>
    </w:tbl>
    <w:p w14:paraId="5CAAEF9B">
      <w:pPr>
        <w:rPr>
          <w:b/>
          <w:sz w:val="26"/>
          <w:szCs w:val="26"/>
        </w:rPr>
      </w:pPr>
    </w:p>
    <w:p w14:paraId="24B6EE0B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</w:t>
      </w:r>
      <w:r>
        <w:rPr>
          <w:sz w:val="24"/>
          <w:szCs w:val="24"/>
        </w:rPr>
        <w:t xml:space="preserve">в лице председателя </w:t>
      </w:r>
      <w:r>
        <w:rPr>
          <w:b/>
          <w:sz w:val="24"/>
          <w:szCs w:val="24"/>
        </w:rPr>
        <w:t>________________</w:t>
      </w:r>
      <w:r>
        <w:rPr>
          <w:sz w:val="24"/>
          <w:szCs w:val="24"/>
        </w:rPr>
        <w:t>, действующего на основании положения о Комитете, именуемое в дальнейшем "Уполномоченный орган"  с одной стороны, и</w:t>
      </w:r>
    </w:p>
    <w:p w14:paraId="18D6E29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BF25A8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(наименование организации, Ф.И.О. индивидуального предпринимателя)</w:t>
      </w:r>
    </w:p>
    <w:p w14:paraId="6E1441F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14:paraId="1A34B4A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(должность, Ф.И.О.)</w:t>
      </w:r>
    </w:p>
    <w:p w14:paraId="7303E6A6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14:paraId="77B4690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  ___  в дальнейшем "Хозяйствующий субъект", с другой стороны, далее совместно именуемые "Стороны", подписали настоящий Акт о нижеследующем:</w:t>
      </w:r>
    </w:p>
    <w:p w14:paraId="5F2E6C7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1304D8B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Уполномоченный  орган  передает,  а Хозяйствующий субъект принимает место   для   размещения   нестационарного   торгового   объекта  ________________________ площадью _______  кв.  м в  соответствии  с  условиями Договора и схемой размещения НТО.</w:t>
      </w:r>
    </w:p>
    <w:p w14:paraId="3BFBC8F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 Место  для  размещения  нестационарного  торгового объекта передано Хозяйствующему    субъекту   в   состоянии,   соответствующем   требованиям</w:t>
      </w:r>
    </w:p>
    <w:p w14:paraId="455A7531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действующим в Кыштымском городском округе нормативных правовых актов.</w:t>
      </w:r>
    </w:p>
    <w:p w14:paraId="3A4EA621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Претензий   к   месту   размещения  нестационарного  торгового  объекта Хозяйствующий субъект не имеет.</w:t>
      </w:r>
    </w:p>
    <w:p w14:paraId="764804D8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 Настоящий  акт  составлен  в  двух экземплярах по одному для каждой стороны Договора.</w:t>
      </w:r>
    </w:p>
    <w:p w14:paraId="43EECFE6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3BAA871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Подписи сторон</w:t>
      </w:r>
    </w:p>
    <w:p w14:paraId="180D63B6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4B6F53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Уполномоченный орган                Хозяйствующий субъект:</w:t>
      </w:r>
    </w:p>
    <w:p w14:paraId="09EB00E0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______________________________________</w:t>
      </w:r>
    </w:p>
    <w:p w14:paraId="178D5171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______________________________________</w:t>
      </w:r>
    </w:p>
    <w:p w14:paraId="237A1B2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______________________________________</w:t>
      </w:r>
    </w:p>
    <w:p w14:paraId="1E700BA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______________________________________</w:t>
      </w:r>
    </w:p>
    <w:p w14:paraId="4B7C85E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                     ________________</w:t>
      </w:r>
    </w:p>
    <w:p w14:paraId="032A90A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 __________________  _________________/ ___________________</w:t>
      </w:r>
    </w:p>
    <w:p w14:paraId="12FCB31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М.П.                                   М.П.</w:t>
      </w:r>
    </w:p>
    <w:p w14:paraId="036FFB7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7A0FAB5F">
      <w:pPr>
        <w:pStyle w:val="5"/>
        <w:jc w:val="both"/>
      </w:pPr>
    </w:p>
    <w:p w14:paraId="6CC2187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E305E"/>
    <w:multiLevelType w:val="multilevel"/>
    <w:tmpl w:val="3F1E305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E6"/>
    <w:rsid w:val="0021668D"/>
    <w:rsid w:val="002A387D"/>
    <w:rsid w:val="00312FE6"/>
    <w:rsid w:val="008424B9"/>
    <w:rsid w:val="009B0B1E"/>
    <w:rsid w:val="00AE65E4"/>
    <w:rsid w:val="00E35D12"/>
    <w:rsid w:val="73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6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7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1964</Words>
  <Characters>11199</Characters>
  <Lines>93</Lines>
  <Paragraphs>26</Paragraphs>
  <TotalTime>9</TotalTime>
  <ScaleCrop>false</ScaleCrop>
  <LinksUpToDate>false</LinksUpToDate>
  <CharactersWithSpaces>13137</CharactersWithSpaces>
  <Application>WPS Office_12.2.0.18283_F1E327BC-269C-435d-A152-05C5408002CA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2022-01-06T05:47:00Z</dcterms:created>
  <dc:creator>К110-1</dc:creator>
  <cp:lastModifiedBy>User 112</cp:lastModifiedBy>
  <dcterms:modified xsi:type="dcterms:W3CDTF">2024-10-14T06:38:56Z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DFCBE63A1F3D4EBE810CC51E7EE404E5_12</vt:lpwstr>
  </property>
</Properties>
</file>