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Выписка </w:t>
      </w:r>
      <w:r>
        <w:rPr>
          <w:rFonts w:hint="default" w:ascii="Times New Roman" w:hAnsi="Times New Roman" w:cs="Times New Roman"/>
          <w:sz w:val="26"/>
          <w:szCs w:val="26"/>
        </w:rPr>
        <w:t>из Правил землепользования и застройки Кыштымского городского округа, утвержд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ё</w:t>
      </w:r>
      <w:r>
        <w:rPr>
          <w:rFonts w:hint="default" w:ascii="Times New Roman" w:hAnsi="Times New Roman" w:cs="Times New Roman"/>
          <w:sz w:val="26"/>
          <w:szCs w:val="26"/>
        </w:rPr>
        <w:t xml:space="preserve">нных решением Собрания депутатов Кыштымского городского округа от 25.01.2007 г.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>№ 22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outlineLvl w:val="4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П-2. Зона размещения коммунальных и складских объектов, объектов жилищно-коммунального хозяйства, объектов транспорта, объектов оптовой торговли и производственных объектов с различными нормативами воздействия на окружающую среду</w:t>
      </w:r>
    </w:p>
    <w:p>
      <w:pPr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Основные виды разрешенного использования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-Склады</w:t>
      </w:r>
      <w:r>
        <w:rPr>
          <w:rFonts w:ascii="Times New Roman" w:hAnsi="Times New Roman"/>
          <w:bCs/>
          <w:sz w:val="26"/>
          <w:szCs w:val="26"/>
        </w:rPr>
        <w:t xml:space="preserve">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-Складские площадки</w:t>
      </w:r>
      <w:r>
        <w:rPr>
          <w:rFonts w:ascii="Times New Roman" w:hAnsi="Times New Roman"/>
          <w:bCs/>
          <w:sz w:val="26"/>
          <w:szCs w:val="26"/>
        </w:rPr>
        <w:t xml:space="preserve"> (Временное хранение, распределение и перевалка грузов (за исключением хранения стратегических запасов) на открытом воздухе);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Коммунальное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следующих видов разрешенного использования: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 размещение зданий, предназначенных для приема физических и юридических лиц в связи с предоставлением им коммунальных услуг);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Автомобильный транспорт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автомобильного транспорта. Содержание данного вида разрешенного использования включает в себя содержание следующих видов разрешенного использования: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зданий и сооружений, предназначенных для обслуживания пассажиров, стоянок транспортных средств, осуществляющих перевозки людей по установленному маршруту);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Улично-дорожная сеть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Хранение автотранспорта</w:t>
      </w:r>
      <w:r>
        <w:rPr>
          <w:rFonts w:ascii="Times New Roman" w:hAnsi="Times New Roman"/>
          <w:bCs/>
          <w:sz w:val="26"/>
          <w:szCs w:val="26"/>
        </w:rPr>
        <w:t xml:space="preserve"> (размещение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-Объекты дорожного сервиса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сервиса,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сервиса, размещение автомобильных моек, а также размещение магазинов сопутствующей торговли,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-Производственная деятельность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в целях добычи полезных ископаемых, их переработки, изготовления вещей промышленным способом);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Тяжелая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-Автомобилестроительная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(Размещение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Легкая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текстильной, фарфоро-фаянсовой, электронной промышленности);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Пищевая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-Нефтехимическая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Строительная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Предпринимательство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Энергетика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Коммунальное обслуживание);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Связь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Целлюлозно-бумажная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Научно-производственная деятельность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технологических, промышленных, агропромышленных парков, бизнес-инкубаторов);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Железнодорожный транспорт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Размещение железнодорожных путей,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законами);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- </w:t>
      </w:r>
      <w:r>
        <w:rPr>
          <w:rFonts w:ascii="Times New Roman" w:hAnsi="Times New Roman" w:eastAsia="Calibri"/>
          <w:bCs/>
          <w:sz w:val="26"/>
          <w:szCs w:val="26"/>
          <w:u w:val="single"/>
        </w:rPr>
        <w:t>Овощеводство</w:t>
      </w:r>
      <w:r>
        <w:rPr>
          <w:rFonts w:ascii="Times New Roman" w:hAnsi="Times New Roman" w:eastAsia="Calibri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</w:r>
      <w:r>
        <w:rPr>
          <w:rFonts w:ascii="Times New Roman" w:hAnsi="Times New Roman" w:eastAsia="Calibri"/>
          <w:bCs/>
          <w:sz w:val="26"/>
          <w:szCs w:val="26"/>
        </w:rPr>
        <w:t>);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>- Научное обеспечение сельского хозяйства</w:t>
      </w:r>
      <w:r>
        <w:rPr>
          <w:rFonts w:ascii="Times New Roman" w:hAnsi="Times New Roman" w:eastAsia="Calibri"/>
          <w:bCs/>
          <w:sz w:val="26"/>
          <w:szCs w:val="26"/>
        </w:rPr>
        <w:t xml:space="preserve"> (осуществление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растений);</w:t>
      </w:r>
    </w:p>
    <w:p>
      <w:pPr>
        <w:keepNext/>
        <w:keepLines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>- Хранение и переработка сельскохозяйственной продукции</w:t>
      </w:r>
      <w:r>
        <w:rPr>
          <w:rFonts w:ascii="Times New Roman" w:hAnsi="Times New Roman" w:eastAsia="Calibri"/>
          <w:bCs/>
          <w:sz w:val="26"/>
          <w:szCs w:val="26"/>
        </w:rPr>
        <w:t xml:space="preserve"> (размещение зданий, сооружений, используемых для производства, хранения, первичной и глубокой переработки сельскохозяйственной продукции;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>- Питомники</w:t>
      </w:r>
      <w:r>
        <w:rPr>
          <w:rFonts w:ascii="Times New Roman" w:hAnsi="Times New Roman" w:eastAsia="Calibri"/>
          <w:bCs/>
          <w:sz w:val="26"/>
          <w:szCs w:val="26"/>
        </w:rPr>
        <w:t xml:space="preserve"> (выращивание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производства);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>- Обеспечение сельскохозяйственного производства</w:t>
      </w:r>
      <w:r>
        <w:rPr>
          <w:rFonts w:ascii="Times New Roman" w:hAnsi="Times New Roman" w:eastAsia="Calibri"/>
          <w:bCs/>
          <w:sz w:val="26"/>
          <w:szCs w:val="26"/>
        </w:rPr>
        <w:t xml:space="preserve"> (размещение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хозяйства);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>- Заготовка древесины</w:t>
      </w:r>
      <w:r>
        <w:rPr>
          <w:rFonts w:ascii="Times New Roman" w:hAnsi="Times New Roman" w:eastAsia="Calibri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</w:r>
      <w:r>
        <w:rPr>
          <w:rFonts w:ascii="Times New Roman" w:hAnsi="Times New Roman" w:eastAsia="Calibri"/>
          <w:bCs/>
          <w:sz w:val="26"/>
          <w:szCs w:val="26"/>
        </w:rPr>
        <w:t>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Бытовое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Ритуальная деятельность</w:t>
      </w:r>
      <w:r>
        <w:rPr>
          <w:rFonts w:ascii="Times New Roman" w:hAnsi="Times New Roman"/>
          <w:bCs/>
          <w:sz w:val="26"/>
          <w:szCs w:val="26"/>
        </w:rPr>
        <w:t xml:space="preserve"> (осуществление деятельности по производству продукции ритуально-обрядового назначения);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Размещение гаражей для собственных нужд </w:t>
      </w:r>
      <w:r>
        <w:rPr>
          <w:rFonts w:ascii="Times New Roman" w:hAnsi="Times New Roman"/>
          <w:sz w:val="28"/>
          <w:szCs w:val="28"/>
        </w:rPr>
        <w:t>(Размещение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коммуникации).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  <w:u w:val="single"/>
        </w:rPr>
        <w:t>Условно разрешенные виды использования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Деловое управление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Недропользование</w:t>
      </w:r>
      <w:r>
        <w:rPr>
          <w:rFonts w:ascii="Times New Roman" w:hAnsi="Times New Roman"/>
          <w:bCs/>
          <w:sz w:val="26"/>
          <w:szCs w:val="26"/>
        </w:rPr>
        <w:t xml:space="preserve"> (Осуществление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Фармацевтическая промышленность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зон);</w:t>
      </w:r>
    </w:p>
    <w:p>
      <w:pPr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Ведение огородничества</w:t>
      </w:r>
      <w:r>
        <w:rPr>
          <w:rFonts w:ascii="Times New Roman" w:hAnsi="Times New Roman"/>
          <w:bCs/>
          <w:sz w:val="26"/>
          <w:szCs w:val="26"/>
        </w:rPr>
        <w:t xml:space="preserve"> (Осуществление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  <w:u w:val="single"/>
        </w:rPr>
        <w:t>Общественное питание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>
      <w:pPr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Вспомогательные виды разрешенного использования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Земельные участки (территории) общего пользования</w:t>
      </w:r>
      <w:r>
        <w:rPr>
          <w:rFonts w:ascii="Times New Roman" w:hAnsi="Times New Roman"/>
          <w:bCs/>
          <w:sz w:val="26"/>
          <w:szCs w:val="26"/>
        </w:rPr>
        <w:t xml:space="preserve"> (земельные участки общего пользования. Содержание данного вида разрешенного использования включает в себя содержание следующих видов разрешенного использования: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Обеспечение деятельности в области гидрометеорологии и смежных с ней областях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Благоустройство территории</w:t>
      </w:r>
      <w:r>
        <w:rPr>
          <w:rFonts w:ascii="Times New Roman" w:hAnsi="Times New Roman"/>
          <w:bCs/>
          <w:sz w:val="26"/>
          <w:szCs w:val="26"/>
        </w:rPr>
        <w:t xml:space="preserve">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Обеспечение внутреннего правопорядка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Трубопроводный транспорт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для занятия спортом. Содержание данного вида разрешенного использования включает в себя содержание следующих видов разрешенного использования: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ипподромов), спортивных клубов, спортивных залов, бассейнов, физкультурно-оздоровительных комплексов в зданиях и сооружениях, площадок для занятия спортом и физкультурой на открытом воздухе (физкультурные площадки, беговые дорожки, поля для спортивной игры), сооружений для занятия спортом и физкультурой на открытом воздухе (теннисные корты, автодромы, мотодромы, трамплины, спортивные стрельбища),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инвентаря),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инвентаря), спортивных баз и лагерей, в которых осуществляется спортивная подготовка длительно проживающих в них лиц);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Отдых (рекреация)</w:t>
      </w:r>
      <w:r>
        <w:rPr>
          <w:rFonts w:ascii="Times New Roman" w:hAnsi="Times New Roman"/>
          <w:bCs/>
          <w:sz w:val="26"/>
          <w:szCs w:val="26"/>
        </w:rPr>
        <w:t xml:space="preserve"> (обустройство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использования: размещение зданий и сооружений для занятия спортом,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мероприятий,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рыбы, размещение сооружений, предназначенных для причаливания, хранения и обслуживания яхт, катеров, лодок и других маломерных судов, 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Водные объекты</w:t>
      </w:r>
      <w:r>
        <w:rPr>
          <w:rFonts w:ascii="Times New Roman" w:hAnsi="Times New Roman"/>
          <w:bCs/>
          <w:sz w:val="26"/>
          <w:szCs w:val="26"/>
        </w:rPr>
        <w:t xml:space="preserve"> (ледники, снежники, ручьи, реки, озера, болота, территориальные моря и другие поверхностные водные объекты);</w:t>
      </w:r>
    </w:p>
    <w:p>
      <w:pPr>
        <w:keepNext/>
        <w:keepLines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Общее пользование водными объектами</w:t>
      </w:r>
      <w:r>
        <w:rPr>
          <w:rFonts w:ascii="Times New Roman" w:hAnsi="Times New Roman"/>
          <w:bCs/>
          <w:sz w:val="26"/>
          <w:szCs w:val="26"/>
        </w:rPr>
        <w:t xml:space="preserve"> (использование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законодательством).</w:t>
      </w:r>
    </w:p>
    <w:p>
      <w:pPr>
        <w:tabs>
          <w:tab w:val="left" w:pos="0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*Примечание</w:t>
      </w:r>
    </w:p>
    <w:p>
      <w:pPr>
        <w:tabs>
          <w:tab w:val="left" w:pos="0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tabs>
          <w:tab w:val="left" w:pos="0"/>
        </w:tabs>
        <w:spacing w:before="0" w:after="0"/>
        <w:rPr>
          <w:rFonts w:ascii="Times New Roman" w:hAnsi="Times New Roman"/>
          <w:bCs/>
          <w:snapToGrid w:val="0"/>
          <w:sz w:val="26"/>
          <w:szCs w:val="26"/>
        </w:rPr>
      </w:pPr>
      <w:r>
        <w:rPr>
          <w:rFonts w:ascii="Times New Roman" w:hAnsi="Times New Roman"/>
          <w:bCs/>
          <w:snapToGrid w:val="0"/>
          <w:sz w:val="26"/>
          <w:szCs w:val="26"/>
        </w:rPr>
        <w:t xml:space="preserve">Предельные параметры земельных участков и предельные параметры разрешенного строительства, реконструкции объектов капитального строительства </w:t>
      </w:r>
    </w:p>
    <w:p>
      <w:pPr>
        <w:tabs>
          <w:tab w:val="left" w:pos="0"/>
        </w:tabs>
        <w:spacing w:before="0" w:after="0"/>
        <w:rPr>
          <w:rFonts w:ascii="Times New Roman" w:hAnsi="Times New Roman"/>
          <w:bCs/>
          <w:snapToGrid w:val="0"/>
          <w:sz w:val="26"/>
          <w:szCs w:val="26"/>
        </w:rPr>
      </w:pPr>
    </w:p>
    <w:tbl>
      <w:tblPr>
        <w:tblStyle w:val="6"/>
        <w:tblW w:w="99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142"/>
        <w:gridCol w:w="852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Виды параметров и единицы измерения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Нежилые объекты капитального строительства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Предельные (минимальные и (или) максимальные размеры земельных участков и предельные параметры, в том числе их площадь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-294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Минимальный размер земельного участка (для вновь образуемых земельных участков)</w:t>
            </w:r>
          </w:p>
          <w:p>
            <w:pPr>
              <w:tabs>
                <w:tab w:val="right" w:pos="-294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0"/>
                <w:tab w:val="right" w:pos="567"/>
              </w:tabs>
              <w:snapToGrid w:val="0"/>
              <w:spacing w:before="0" w:after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кв.м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bottom w:val="single" w:color="auto" w:sz="4" w:space="1"/>
              </w:pBd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 кв.м. гараж используемый для хранения легкового автомобиля (не для  коммерческого использования)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 кв.м. гаража используемый для хранения грузового автомобиля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хранения транспортного средства (не для  коммерческого использования)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-2943"/>
                <w:tab w:val="right" w:pos="567"/>
              </w:tabs>
              <w:snapToGri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Максимальный размер земельного участка (для вновь образуемых земельных участков)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napToGrid w:val="0"/>
              <w:spacing w:before="0" w:after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кв.м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 кв.м. гараж, используемый для собственных нужд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Предельные параметры разрешенного строительства, реконструкции объектов капитального строительства в пределах участков</w:t>
            </w: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4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Минимальный отступ от передней границы земельного участка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а) в соответствии со сложившейся линией застройки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б) 5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Минимальные отступы строений от боковых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jc w:val="center"/>
              <w:rPr>
                <w:rFonts w:ascii="Times New Roman" w:hAnsi="Times New Roman" w:eastAsia="Arial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а) 1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б) 5 –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Минимальный отступ строений от задней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jc w:val="center"/>
              <w:rPr>
                <w:rFonts w:ascii="Times New Roman" w:hAnsi="Times New Roman" w:eastAsia="Arial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а) 1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б) 5 –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Рекомендуемый минимальный процент озеленения в границах земельного участка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before="0" w:after="0"/>
              <w:rPr>
                <w:rFonts w:ascii="Times New Roman" w:hAnsi="Times New Roman" w:eastAsia="Arial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Минимальный процент под парковочные места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jc w:val="center"/>
              <w:rPr>
                <w:rFonts w:ascii="Times New Roman" w:hAnsi="Times New Roman" w:eastAsia="Arial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%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jc w:val="center"/>
              <w:rPr>
                <w:rFonts w:ascii="Times New Roman" w:hAnsi="Times New Roman" w:eastAsia="Arial"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Предельное количество этажей или предельная высота зданий, строений, сооружений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(до конька крыши)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bottom w:val="single" w:color="auto" w:sz="4" w:space="1"/>
              </w:pBdr>
              <w:tabs>
                <w:tab w:val="right" w:pos="-200"/>
                <w:tab w:val="right" w:pos="0"/>
              </w:tabs>
              <w:snapToGrid w:val="0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Кол.</w:t>
            </w: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эт.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bottom w:val="single" w:color="auto" w:sz="4" w:space="1"/>
              </w:pBd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(для гаража)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(для гаража)</w:t>
            </w:r>
          </w:p>
        </w:tc>
      </w:tr>
    </w:tbl>
    <w:p>
      <w:pPr>
        <w:numPr>
          <w:ilvl w:val="0"/>
          <w:numId w:val="3"/>
        </w:numPr>
        <w:tabs>
          <w:tab w:val="left" w:pos="432"/>
        </w:tabs>
        <w:spacing w:before="0" w:after="0"/>
        <w:ind w:left="0" w:firstLine="0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Установлены ограничения в использовании земельных участков (статья 27 Земельного кодекса РФ).</w:t>
      </w:r>
    </w:p>
    <w:p>
      <w:pPr>
        <w:ind w:firstLine="426"/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 xml:space="preserve">Примечания к таблице </w:t>
      </w:r>
    </w:p>
    <w:p>
      <w:pPr>
        <w:ind w:firstLine="426"/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>Примечание 1.</w:t>
      </w:r>
    </w:p>
    <w:p>
      <w:pPr>
        <w:numPr>
          <w:ilvl w:val="0"/>
          <w:numId w:val="3"/>
        </w:numPr>
        <w:tabs>
          <w:tab w:val="left" w:pos="432"/>
          <w:tab w:val="right" w:pos="567"/>
        </w:tabs>
        <w:spacing w:before="0" w:after="0"/>
        <w:ind w:left="0" w:firstLine="426"/>
        <w:rPr>
          <w:rFonts w:ascii="Times New Roman" w:hAnsi="Times New Roman" w:eastAsia="Arial"/>
          <w:bCs/>
          <w:sz w:val="26"/>
          <w:szCs w:val="26"/>
          <w:lang w:eastAsia="en-US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>Допускаются отклонения от представленных в таблице параметров в пределах 10%.</w:t>
      </w:r>
    </w:p>
    <w:p>
      <w:pPr>
        <w:ind w:firstLine="426"/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>Примечание 2.</w:t>
      </w:r>
    </w:p>
    <w:p>
      <w:pPr>
        <w:numPr>
          <w:ilvl w:val="0"/>
          <w:numId w:val="3"/>
        </w:numPr>
        <w:tabs>
          <w:tab w:val="left" w:pos="432"/>
        </w:tabs>
        <w:spacing w:before="0" w:after="0"/>
        <w:ind w:left="0" w:firstLine="426"/>
        <w:outlineLvl w:val="4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 w:eastAsia="Arial"/>
          <w:bCs/>
          <w:sz w:val="26"/>
          <w:szCs w:val="26"/>
          <w:lang w:eastAsia="en-US"/>
        </w:rPr>
        <w:t xml:space="preserve">становление максимальных размеров земельных участков, в том числе их  площади, в отношении данной зоны не требуется, за исключением  земельных участков под </w:t>
      </w:r>
      <w:r>
        <w:rPr>
          <w:rFonts w:ascii="Times New Roman" w:hAnsi="Times New Roman"/>
          <w:sz w:val="26"/>
          <w:szCs w:val="26"/>
        </w:rPr>
        <w:t>размещение гаражей для собственных нужд.</w:t>
      </w:r>
    </w:p>
    <w:p>
      <w:pPr>
        <w:numPr>
          <w:ilvl w:val="0"/>
          <w:numId w:val="3"/>
        </w:numPr>
        <w:tabs>
          <w:tab w:val="left" w:pos="432"/>
        </w:tabs>
        <w:spacing w:before="0" w:after="0"/>
        <w:ind w:left="0" w:firstLine="426"/>
        <w:outlineLvl w:val="4"/>
        <w:rPr>
          <w:rFonts w:ascii="Times New Roman" w:hAnsi="Times New Roman" w:eastAsia="Calibri"/>
          <w:bCs/>
          <w:sz w:val="26"/>
          <w:szCs w:val="26"/>
        </w:rPr>
      </w:pPr>
    </w:p>
    <w:p>
      <w:pPr>
        <w:numPr>
          <w:ilvl w:val="0"/>
          <w:numId w:val="3"/>
        </w:numPr>
        <w:tabs>
          <w:tab w:val="left" w:pos="432"/>
        </w:tabs>
        <w:spacing w:before="0" w:after="0"/>
        <w:ind w:left="0" w:firstLine="426"/>
        <w:outlineLvl w:val="4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 xml:space="preserve">Примечание 3. </w:t>
      </w:r>
    </w:p>
    <w:p>
      <w:pPr>
        <w:numPr>
          <w:ilvl w:val="0"/>
          <w:numId w:val="3"/>
        </w:numPr>
        <w:tabs>
          <w:tab w:val="left" w:pos="432"/>
        </w:tabs>
        <w:spacing w:before="0" w:after="0"/>
        <w:ind w:left="0" w:firstLine="426"/>
        <w:outlineLvl w:val="4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 xml:space="preserve">Процент застройки, указанный в таблице, не распространяется на земельные участки, предназначенные для размещения гаражей. 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Примечание 4.</w:t>
      </w:r>
    </w:p>
    <w:p>
      <w:pPr>
        <w:spacing w:before="0" w:after="0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Допускается образование земельных участков, предоставляемых гражданам для размещения гаражей, размеры которых меньше установленных предельных минимальных размеров, если образуемый земельный участок невозможно присоединить к другому земельному участку или иным способом увеличить их размеры до минимальных размеров, установленных настоящими Правилами, в следующем случае: образование земельных участков из земель, находящихся в государственной или муниципальной собственности, в сложившейся застройке, при наличии на образуемом участке объекта капитального строительства (здания),  права на который возникли у физического лица (заявителя) в установленном законом порядке</w:t>
      </w:r>
      <w:r>
        <w:rPr>
          <w:rFonts w:ascii="Times New Roman" w:hAnsi="Times New Roman" w:eastAsia="Calibri"/>
          <w:bCs/>
          <w:sz w:val="26"/>
          <w:szCs w:val="26"/>
        </w:rPr>
        <w:t>.</w:t>
      </w:r>
    </w:p>
    <w:p>
      <w:pPr>
        <w:spacing w:before="0" w:after="0"/>
        <w:contextualSpacing/>
        <w:outlineLvl w:val="4"/>
        <w:rPr>
          <w:rFonts w:ascii="Times New Roman" w:hAnsi="Times New Roman"/>
          <w:bCs/>
          <w:iCs/>
          <w:sz w:val="26"/>
          <w:lang w:eastAsia="ru-RU"/>
        </w:rPr>
      </w:pPr>
    </w:p>
    <w:p>
      <w:bookmarkStart w:id="0" w:name="_GoBack"/>
      <w:bookmarkEnd w:id="0"/>
    </w:p>
    <w:sectPr>
      <w:pgSz w:w="11906" w:h="16838"/>
      <w:pgMar w:top="850" w:right="850" w:bottom="85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2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4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bullet"/>
      <w:pStyle w:val="7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1DC0"/>
    <w:rsid w:val="08377C87"/>
    <w:rsid w:val="120E0000"/>
    <w:rsid w:val="1D6332C3"/>
    <w:rsid w:val="246D317A"/>
    <w:rsid w:val="3A917995"/>
    <w:rsid w:val="423179A5"/>
    <w:rsid w:val="45CE10F6"/>
    <w:rsid w:val="49F72B69"/>
    <w:rsid w:val="4EB81DC0"/>
    <w:rsid w:val="4F2F58BB"/>
    <w:rsid w:val="60C73B0B"/>
    <w:rsid w:val="66F97F7F"/>
    <w:rsid w:val="7CF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before="280" w:after="280"/>
      <w:ind w:firstLine="709"/>
      <w:jc w:val="both"/>
    </w:pPr>
    <w:rPr>
      <w:rFonts w:ascii="Arial" w:hAnsi="Arial" w:eastAsia="Times New Roman" w:cs="Times New Roman"/>
      <w:lang w:val="ru-RU" w:eastAsia="ar-SA" w:bidi="ar-SA"/>
    </w:rPr>
  </w:style>
  <w:style w:type="paragraph" w:styleId="2">
    <w:name w:val="heading 5"/>
    <w:basedOn w:val="1"/>
    <w:next w:val="3"/>
    <w:qFormat/>
    <w:uiPriority w:val="0"/>
    <w:pPr>
      <w:numPr>
        <w:ilvl w:val="4"/>
        <w:numId w:val="1"/>
      </w:numPr>
      <w:outlineLvl w:val="4"/>
    </w:pPr>
    <w:rPr>
      <w:b/>
      <w:bCs/>
      <w:i/>
    </w:rPr>
  </w:style>
  <w:style w:type="paragraph" w:styleId="4">
    <w:name w:val="heading 6"/>
    <w:basedOn w:val="1"/>
    <w:next w:val="1"/>
    <w:qFormat/>
    <w:uiPriority w:val="0"/>
    <w:pPr>
      <w:numPr>
        <w:ilvl w:val="5"/>
        <w:numId w:val="1"/>
      </w:numPr>
      <w:outlineLvl w:val="5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before="280" w:after="120"/>
    </w:pPr>
  </w:style>
  <w:style w:type="paragraph" w:styleId="7">
    <w:name w:val="List"/>
    <w:basedOn w:val="1"/>
    <w:qFormat/>
    <w:uiPriority w:val="0"/>
    <w:pPr>
      <w:numPr>
        <w:ilvl w:val="0"/>
        <w:numId w:val="2"/>
      </w:numPr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9">
    <w:name w:val="List Paragraph"/>
    <w:basedOn w:val="1"/>
    <w:qFormat/>
    <w:uiPriority w:val="34"/>
    <w:pPr>
      <w:suppressAutoHyphens w:val="0"/>
      <w:spacing w:before="0" w:after="200" w:line="276" w:lineRule="auto"/>
      <w:ind w:left="720" w:firstLine="0"/>
      <w:contextualSpacing/>
      <w:jc w:val="left"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2023-11-07T04:21:00Z</dcterms:created>
  <dc:creator>104-kab</dc:creator>
  <cp:lastModifiedBy>104-kab</cp:lastModifiedBy>
  <dcterms:modified xsi:type="dcterms:W3CDTF">2023-11-07T04:58:26Z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F2A8F5A325A74BF784895C41B199B1BC_13</vt:lpwstr>
  </property>
</Properties>
</file>