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9"/>
        <w:jc w:val="both"/>
        <w:rPr>
          <w:rFonts w:hint="default" w:ascii="Times New Roman" w:hAnsi="Times New Roman" w:cs="Times New Roman"/>
          <w:sz w:val="26"/>
          <w:szCs w:val="26"/>
          <w:lang w:val="ru-RU"/>
        </w:rPr>
      </w:pPr>
      <w:r>
        <w:rPr>
          <w:rFonts w:hint="default" w:ascii="Times New Roman" w:hAnsi="Times New Roman" w:cs="Times New Roman"/>
          <w:sz w:val="26"/>
          <w:szCs w:val="26"/>
          <w:lang w:val="ru-RU"/>
        </w:rPr>
        <w:t xml:space="preserve">Выписка </w:t>
      </w:r>
      <w:r>
        <w:rPr>
          <w:rFonts w:hint="default" w:ascii="Times New Roman" w:hAnsi="Times New Roman" w:cs="Times New Roman"/>
          <w:sz w:val="26"/>
          <w:szCs w:val="26"/>
        </w:rPr>
        <w:t>из Правил землепользования и застройки Кыштымского городского округа, утвержд</w:t>
      </w:r>
      <w:r>
        <w:rPr>
          <w:rFonts w:hint="default" w:ascii="Times New Roman" w:hAnsi="Times New Roman" w:cs="Times New Roman"/>
          <w:sz w:val="26"/>
          <w:szCs w:val="26"/>
          <w:lang w:val="ru-RU"/>
        </w:rPr>
        <w:t>ё</w:t>
      </w:r>
      <w:r>
        <w:rPr>
          <w:rFonts w:hint="default" w:ascii="Times New Roman" w:hAnsi="Times New Roman" w:cs="Times New Roman"/>
          <w:sz w:val="26"/>
          <w:szCs w:val="26"/>
        </w:rPr>
        <w:t xml:space="preserve">нных решением Собрания депутатов Кыштымского городского округа от 25.01.2007 г. </w:t>
      </w:r>
      <w:r>
        <w:rPr>
          <w:rFonts w:hint="default" w:ascii="Times New Roman" w:hAnsi="Times New Roman" w:cs="Times New Roman"/>
          <w:sz w:val="26"/>
          <w:szCs w:val="26"/>
          <w:lang w:val="ru-RU"/>
        </w:rPr>
        <w:t xml:space="preserve">   </w:t>
      </w:r>
      <w:r>
        <w:rPr>
          <w:rFonts w:hint="default" w:ascii="Times New Roman" w:hAnsi="Times New Roman" w:cs="Times New Roman"/>
          <w:sz w:val="26"/>
          <w:szCs w:val="26"/>
        </w:rPr>
        <w:t>№ 22</w:t>
      </w:r>
      <w:r>
        <w:rPr>
          <w:rFonts w:hint="default" w:ascii="Times New Roman" w:hAnsi="Times New Roman" w:cs="Times New Roman"/>
          <w:sz w:val="26"/>
          <w:szCs w:val="26"/>
          <w:lang w:val="ru-RU"/>
        </w:rPr>
        <w:t>.</w:t>
      </w:r>
    </w:p>
    <w:p>
      <w:pPr>
        <w:outlineLvl w:val="4"/>
        <w:rPr>
          <w:rFonts w:ascii="Times New Roman" w:hAnsi="Times New Roman" w:eastAsia="Calibri"/>
          <w:bCs/>
          <w:sz w:val="26"/>
          <w:szCs w:val="26"/>
          <w:u w:val="single"/>
          <w:lang w:eastAsia="en-US"/>
        </w:rPr>
      </w:pPr>
      <w:r>
        <w:rPr>
          <w:rFonts w:ascii="Times New Roman" w:hAnsi="Times New Roman" w:eastAsia="Calibri"/>
          <w:bCs/>
          <w:sz w:val="26"/>
          <w:szCs w:val="26"/>
          <w:u w:val="single"/>
          <w:lang w:eastAsia="en-US"/>
        </w:rPr>
        <w:t>Ж-2. Зона застройки малоэтажными жилыми домами</w:t>
      </w:r>
    </w:p>
    <w:p>
      <w:pPr>
        <w:tabs>
          <w:tab w:val="left" w:pos="0"/>
        </w:tabs>
        <w:ind w:firstLine="284"/>
        <w:rPr>
          <w:rFonts w:ascii="Times New Roman" w:hAnsi="Times New Roman" w:eastAsia="Calibri"/>
          <w:bCs/>
          <w:sz w:val="26"/>
          <w:szCs w:val="26"/>
          <w:u w:val="single"/>
          <w:lang w:eastAsia="en-US"/>
        </w:rPr>
      </w:pPr>
      <w:r>
        <w:rPr>
          <w:rFonts w:ascii="Times New Roman" w:hAnsi="Times New Roman" w:eastAsia="Calibri"/>
          <w:bCs/>
          <w:sz w:val="26"/>
          <w:szCs w:val="26"/>
          <w:u w:val="single"/>
          <w:lang w:eastAsia="en-US"/>
        </w:rPr>
        <w:t>Основные виды разрешенного использования</w:t>
      </w:r>
    </w:p>
    <w:p>
      <w:pPr>
        <w:tabs>
          <w:tab w:val="left" w:pos="0"/>
        </w:tabs>
        <w:rPr>
          <w:rFonts w:ascii="Times New Roman" w:hAnsi="Times New Roman" w:eastAsia="Calibri"/>
          <w:bCs/>
          <w:sz w:val="26"/>
          <w:szCs w:val="26"/>
          <w:lang w:eastAsia="en-US"/>
        </w:rPr>
      </w:pPr>
      <w:r>
        <w:rPr>
          <w:rFonts w:ascii="Times New Roman" w:hAnsi="Times New Roman" w:eastAsia="Calibri"/>
          <w:bCs/>
          <w:sz w:val="26"/>
          <w:szCs w:val="26"/>
          <w:u w:val="single"/>
          <w:lang w:eastAsia="en-US"/>
        </w:rPr>
        <w:t>- Для индивидуального жилищного строительства</w:t>
      </w:r>
      <w:r>
        <w:rPr>
          <w:rFonts w:ascii="Times New Roman" w:hAnsi="Times New Roman" w:eastAsia="Calibri"/>
          <w:bCs/>
          <w:sz w:val="26"/>
          <w:szCs w:val="26"/>
          <w:lang w:eastAsia="en-US"/>
        </w:rPr>
        <w:t xml:space="preserve">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w:t>
      </w:r>
      <w:r>
        <w:rPr>
          <w:rFonts w:ascii="Times New Roman" w:hAnsi="Times New Roman"/>
          <w:sz w:val="26"/>
          <w:szCs w:val="26"/>
        </w:rPr>
        <w:t>размещение гаражей для собственных нужд</w:t>
      </w:r>
      <w:r>
        <w:rPr>
          <w:rFonts w:ascii="Times New Roman" w:hAnsi="Times New Roman" w:eastAsia="Calibri"/>
          <w:bCs/>
          <w:sz w:val="26"/>
          <w:szCs w:val="26"/>
          <w:lang w:eastAsia="en-US"/>
        </w:rPr>
        <w:t xml:space="preserve"> и хозяйственных построек);</w:t>
      </w:r>
    </w:p>
    <w:p>
      <w:pPr>
        <w:rPr>
          <w:rFonts w:ascii="Times New Roman" w:hAnsi="Times New Roman"/>
          <w:bCs/>
          <w:sz w:val="26"/>
          <w:szCs w:val="26"/>
        </w:rPr>
      </w:pPr>
      <w:r>
        <w:rPr>
          <w:rFonts w:ascii="Times New Roman" w:hAnsi="Times New Roman"/>
          <w:bCs/>
          <w:sz w:val="26"/>
          <w:szCs w:val="26"/>
          <w:u w:val="single"/>
        </w:rPr>
        <w:t>- Блокированная жилая застройка</w:t>
      </w:r>
      <w:r>
        <w:rPr>
          <w:rFonts w:ascii="Times New Roman" w:hAnsi="Times New Roman"/>
          <w:bCs/>
          <w:sz w:val="26"/>
          <w:szCs w:val="26"/>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w:t>
      </w:r>
      <w:r>
        <w:rPr>
          <w:rFonts w:ascii="Times New Roman" w:hAnsi="Times New Roman"/>
          <w:sz w:val="26"/>
          <w:szCs w:val="26"/>
        </w:rPr>
        <w:t>размещение гаражей для собственных нужд</w:t>
      </w:r>
      <w:r>
        <w:rPr>
          <w:rFonts w:ascii="Times New Roman" w:hAnsi="Times New Roman"/>
          <w:bCs/>
          <w:sz w:val="26"/>
          <w:szCs w:val="26"/>
        </w:rPr>
        <w:t xml:space="preserve"> и иных вспомогательных сооружений; обустройство спортивных и детских площадок, площадок для отдыха);</w:t>
      </w:r>
    </w:p>
    <w:p>
      <w:pPr>
        <w:rPr>
          <w:rFonts w:ascii="Times New Roman" w:hAnsi="Times New Roman"/>
          <w:bCs/>
          <w:sz w:val="26"/>
          <w:szCs w:val="26"/>
        </w:rPr>
      </w:pPr>
      <w:r>
        <w:rPr>
          <w:rFonts w:ascii="Times New Roman" w:hAnsi="Times New Roman"/>
          <w:bCs/>
          <w:sz w:val="26"/>
          <w:szCs w:val="26"/>
          <w:u w:val="single"/>
        </w:rPr>
        <w:t>- Малоэтажная многоквартирная жилая застройка</w:t>
      </w:r>
      <w:r>
        <w:rPr>
          <w:rFonts w:ascii="Times New Roman" w:hAnsi="Times New Roman"/>
          <w:bCs/>
          <w:sz w:val="26"/>
          <w:szCs w:val="26"/>
        </w:rPr>
        <w:t xml:space="preserve"> (размещение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pPr>
        <w:rPr>
          <w:rFonts w:ascii="Times New Roman" w:hAnsi="Times New Roman"/>
          <w:bCs/>
          <w:sz w:val="26"/>
          <w:szCs w:val="26"/>
        </w:rPr>
      </w:pPr>
      <w:r>
        <w:rPr>
          <w:rFonts w:ascii="Times New Roman" w:hAnsi="Times New Roman"/>
          <w:bCs/>
          <w:sz w:val="26"/>
          <w:szCs w:val="26"/>
          <w:u w:val="single"/>
        </w:rPr>
        <w:t>- Дошкольное, начальное и среднее общее образование</w:t>
      </w:r>
      <w:r>
        <w:rPr>
          <w:rFonts w:ascii="Times New Roman" w:hAnsi="Times New Roman"/>
          <w:bCs/>
          <w:sz w:val="26"/>
          <w:szCs w:val="26"/>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pPr>
        <w:rPr>
          <w:rFonts w:ascii="Times New Roman" w:hAnsi="Times New Roman" w:eastAsia="Calibri"/>
          <w:bCs/>
          <w:sz w:val="26"/>
          <w:szCs w:val="26"/>
        </w:rPr>
      </w:pPr>
      <w:r>
        <w:rPr>
          <w:rFonts w:ascii="Times New Roman" w:hAnsi="Times New Roman"/>
          <w:bCs/>
          <w:sz w:val="26"/>
          <w:szCs w:val="26"/>
          <w:u w:val="single"/>
        </w:rPr>
        <w:t xml:space="preserve">- </w:t>
      </w:r>
      <w:r>
        <w:rPr>
          <w:rFonts w:ascii="Times New Roman" w:hAnsi="Times New Roman" w:eastAsia="Calibri"/>
          <w:bCs/>
          <w:sz w:val="26"/>
          <w:szCs w:val="26"/>
          <w:u w:val="single"/>
        </w:rPr>
        <w:t>Здравоохранение</w:t>
      </w:r>
      <w:r>
        <w:rPr>
          <w:rFonts w:ascii="Times New Roman" w:hAnsi="Times New Roman" w:eastAsia="Calibri"/>
          <w:bCs/>
          <w:sz w:val="26"/>
          <w:szCs w:val="26"/>
        </w:rPr>
        <w:t xml:space="preserve"> (</w:t>
      </w:r>
      <w:r>
        <w:rPr>
          <w:rFonts w:ascii="Times New Roman" w:hAnsi="Times New Roman"/>
          <w:bCs/>
          <w:sz w:val="26"/>
          <w:szCs w:val="26"/>
        </w:rPr>
        <w:t>размещение объектов капитального строительства, предназначенных для оказания гражданам медицинской помощи</w:t>
      </w:r>
      <w:r>
        <w:rPr>
          <w:rFonts w:ascii="Times New Roman" w:hAnsi="Times New Roman" w:eastAsia="Calibri"/>
          <w:bCs/>
          <w:sz w:val="26"/>
          <w:szCs w:val="26"/>
        </w:rPr>
        <w:t xml:space="preserve">. Содержание данного вида разрешенного использования включает в себя содержание видов разрешенного использования: </w:t>
      </w:r>
      <w:r>
        <w:rPr>
          <w:rFonts w:ascii="Times New Roman" w:hAnsi="Times New Roman"/>
          <w:bCs/>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r>
        <w:rPr>
          <w:rFonts w:ascii="Times New Roman" w:hAnsi="Times New Roman" w:eastAsia="Calibri"/>
          <w:bCs/>
          <w:sz w:val="26"/>
          <w:szCs w:val="26"/>
        </w:rPr>
        <w:t>);</w:t>
      </w:r>
    </w:p>
    <w:p>
      <w:pPr>
        <w:rPr>
          <w:rFonts w:ascii="Times New Roman" w:hAnsi="Times New Roman" w:eastAsia="Calibri"/>
          <w:bCs/>
          <w:sz w:val="26"/>
          <w:szCs w:val="26"/>
        </w:rPr>
      </w:pPr>
      <w:r>
        <w:rPr>
          <w:rFonts w:ascii="Times New Roman" w:hAnsi="Times New Roman" w:eastAsia="Calibri"/>
          <w:bCs/>
          <w:sz w:val="26"/>
          <w:szCs w:val="26"/>
          <w:u w:val="single"/>
        </w:rPr>
        <w:t xml:space="preserve">- </w:t>
      </w:r>
      <w:r>
        <w:rPr>
          <w:rFonts w:ascii="Times New Roman" w:hAnsi="Times New Roman"/>
          <w:bCs/>
          <w:sz w:val="26"/>
          <w:szCs w:val="26"/>
          <w:u w:val="single"/>
        </w:rPr>
        <w:t>Среднее и высшее профессиональное образование</w:t>
      </w:r>
      <w:r>
        <w:rPr>
          <w:rFonts w:ascii="Times New Roman" w:hAnsi="Times New Roman" w:eastAsia="Calibri"/>
          <w:bCs/>
          <w:sz w:val="26"/>
          <w:szCs w:val="26"/>
        </w:rPr>
        <w:t xml:space="preserve"> (</w:t>
      </w:r>
      <w:r>
        <w:rPr>
          <w:rFonts w:ascii="Times New Roman" w:hAnsi="Times New Roman"/>
          <w:bCs/>
          <w:sz w:val="26"/>
          <w:szCs w:val="2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r>
        <w:rPr>
          <w:rFonts w:ascii="Times New Roman" w:hAnsi="Times New Roman" w:eastAsia="Calibri"/>
          <w:bCs/>
          <w:sz w:val="26"/>
          <w:szCs w:val="26"/>
        </w:rPr>
        <w:t>);</w:t>
      </w:r>
    </w:p>
    <w:p>
      <w:pPr>
        <w:rPr>
          <w:rFonts w:ascii="Times New Roman" w:hAnsi="Times New Roman" w:eastAsia="Calibri"/>
          <w:bCs/>
          <w:sz w:val="26"/>
          <w:szCs w:val="26"/>
        </w:rPr>
      </w:pPr>
      <w:r>
        <w:rPr>
          <w:rFonts w:ascii="Times New Roman" w:hAnsi="Times New Roman" w:eastAsia="Calibri"/>
          <w:bCs/>
          <w:sz w:val="26"/>
          <w:szCs w:val="26"/>
          <w:u w:val="single"/>
        </w:rPr>
        <w:t>-</w:t>
      </w:r>
      <w:r>
        <w:rPr>
          <w:rFonts w:ascii="Times New Roman" w:hAnsi="Times New Roman"/>
          <w:bCs/>
          <w:sz w:val="26"/>
          <w:szCs w:val="26"/>
          <w:u w:val="single"/>
        </w:rPr>
        <w:t xml:space="preserve"> Общественное управление</w:t>
      </w:r>
      <w:r>
        <w:rPr>
          <w:rFonts w:ascii="Times New Roman" w:hAnsi="Times New Roman" w:eastAsia="Calibri"/>
          <w:bCs/>
          <w:sz w:val="26"/>
          <w:szCs w:val="26"/>
        </w:rPr>
        <w:t xml:space="preserve"> (</w:t>
      </w:r>
      <w:r>
        <w:rPr>
          <w:rFonts w:ascii="Times New Roman" w:hAnsi="Times New Roman"/>
          <w:bCs/>
          <w:sz w:val="26"/>
          <w:szCs w:val="26"/>
        </w:rPr>
        <w:t>размещение зданий, предназначенных для размещения органов и организаций общественного управления.</w:t>
      </w:r>
      <w:r>
        <w:rPr>
          <w:rFonts w:ascii="Times New Roman" w:hAnsi="Times New Roman" w:eastAsia="Calibri"/>
          <w:bCs/>
          <w:sz w:val="26"/>
          <w:szCs w:val="26"/>
        </w:rPr>
        <w:t xml:space="preserve"> Содержание данного вида разрешенного использования включает в себя содержание следующих видов разрешенного использования: </w:t>
      </w:r>
      <w:r>
        <w:rPr>
          <w:rFonts w:ascii="Times New Roman" w:hAnsi="Times New Roman"/>
          <w:bCs/>
          <w:sz w:val="26"/>
          <w:szCs w:val="26"/>
        </w:rPr>
        <w:t>государственное управление, представительская деятельность</w:t>
      </w:r>
      <w:r>
        <w:rPr>
          <w:rFonts w:ascii="Times New Roman" w:hAnsi="Times New Roman" w:eastAsia="Calibri"/>
          <w:bCs/>
          <w:sz w:val="26"/>
          <w:szCs w:val="26"/>
        </w:rPr>
        <w:t>);</w:t>
      </w:r>
    </w:p>
    <w:p>
      <w:pPr>
        <w:rPr>
          <w:rFonts w:ascii="Times New Roman" w:hAnsi="Times New Roman" w:eastAsia="Calibri"/>
          <w:bCs/>
          <w:sz w:val="26"/>
          <w:szCs w:val="26"/>
        </w:rPr>
      </w:pPr>
      <w:r>
        <w:rPr>
          <w:rFonts w:ascii="Times New Roman" w:hAnsi="Times New Roman" w:eastAsia="Calibri"/>
          <w:bCs/>
          <w:sz w:val="26"/>
          <w:szCs w:val="26"/>
          <w:u w:val="single"/>
        </w:rPr>
        <w:t>- Историко-культурная деятельность</w:t>
      </w:r>
      <w:r>
        <w:rPr>
          <w:rFonts w:ascii="Times New Roman" w:hAnsi="Times New Roman" w:eastAsia="Calibri"/>
          <w:bCs/>
          <w:sz w:val="26"/>
          <w:szCs w:val="26"/>
        </w:rPr>
        <w:t xml:space="preserve"> (</w:t>
      </w:r>
      <w:r>
        <w:rPr>
          <w:rFonts w:ascii="Times New Roman" w:hAnsi="Times New Roman"/>
          <w:bCs/>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Pr>
          <w:rFonts w:ascii="Times New Roman" w:hAnsi="Times New Roman" w:eastAsia="Calibri"/>
          <w:bCs/>
          <w:sz w:val="26"/>
          <w:szCs w:val="26"/>
        </w:rPr>
        <w:t>);</w:t>
      </w:r>
    </w:p>
    <w:p>
      <w:pPr>
        <w:rPr>
          <w:rFonts w:ascii="Times New Roman" w:hAnsi="Times New Roman"/>
          <w:bCs/>
          <w:sz w:val="26"/>
          <w:szCs w:val="26"/>
        </w:rPr>
      </w:pPr>
      <w:r>
        <w:rPr>
          <w:rFonts w:ascii="Times New Roman" w:hAnsi="Times New Roman"/>
          <w:bCs/>
          <w:sz w:val="26"/>
          <w:szCs w:val="26"/>
          <w:u w:val="single"/>
        </w:rPr>
        <w:t>- Хранение автотранспорта</w:t>
      </w:r>
      <w:r>
        <w:rPr>
          <w:rFonts w:ascii="Times New Roman" w:hAnsi="Times New Roman"/>
          <w:bCs/>
          <w:sz w:val="26"/>
          <w:szCs w:val="26"/>
        </w:rPr>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w:t>
      </w:r>
    </w:p>
    <w:p>
      <w:pPr>
        <w:rPr>
          <w:rFonts w:ascii="Times New Roman" w:hAnsi="Times New Roman"/>
          <w:bCs/>
          <w:sz w:val="26"/>
          <w:szCs w:val="26"/>
        </w:rPr>
      </w:pPr>
      <w:r>
        <w:rPr>
          <w:rFonts w:ascii="Times New Roman" w:hAnsi="Times New Roman"/>
          <w:bCs/>
          <w:sz w:val="26"/>
          <w:szCs w:val="26"/>
          <w:u w:val="single"/>
        </w:rPr>
        <w:t>- Коммунальное обслуживание</w:t>
      </w:r>
      <w:r>
        <w:rPr>
          <w:rFonts w:ascii="Times New Roman" w:hAnsi="Times New Roman"/>
          <w:bCs/>
          <w:sz w:val="26"/>
          <w:szCs w:val="26"/>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следующих видов разрешенного использования: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размещение зданий, предназначенных для приема физических и юридических лиц в связи с предоставлением им коммунальных услуг).</w:t>
      </w:r>
    </w:p>
    <w:p>
      <w:pPr>
        <w:tabs>
          <w:tab w:val="left" w:pos="709"/>
        </w:tabs>
        <w:rPr>
          <w:rFonts w:ascii="Times New Roman" w:hAnsi="Times New Roman" w:eastAsia="Calibri"/>
          <w:bCs/>
          <w:sz w:val="26"/>
          <w:szCs w:val="26"/>
          <w:u w:val="single"/>
          <w:lang w:eastAsia="en-US"/>
        </w:rPr>
      </w:pPr>
      <w:r>
        <w:rPr>
          <w:rFonts w:ascii="Times New Roman" w:hAnsi="Times New Roman" w:eastAsia="Calibri"/>
          <w:bCs/>
          <w:sz w:val="26"/>
          <w:szCs w:val="26"/>
          <w:u w:val="single"/>
          <w:lang w:eastAsia="en-US"/>
        </w:rPr>
        <w:t xml:space="preserve">Условно разрешенные виды использования </w:t>
      </w:r>
    </w:p>
    <w:p>
      <w:pPr>
        <w:rPr>
          <w:rFonts w:ascii="Times New Roman" w:hAnsi="Times New Roman"/>
          <w:bCs/>
          <w:sz w:val="26"/>
          <w:szCs w:val="26"/>
        </w:rPr>
      </w:pPr>
      <w:r>
        <w:rPr>
          <w:rFonts w:ascii="Times New Roman" w:hAnsi="Times New Roman"/>
          <w:bCs/>
          <w:sz w:val="26"/>
          <w:szCs w:val="26"/>
          <w:u w:val="single"/>
        </w:rPr>
        <w:t>- Среднеэтажная жилая застройка</w:t>
      </w:r>
      <w:r>
        <w:rPr>
          <w:rFonts w:ascii="Times New Roman" w:hAnsi="Times New Roman"/>
          <w:bCs/>
          <w:sz w:val="26"/>
          <w:szCs w:val="26"/>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pPr>
        <w:rPr>
          <w:rFonts w:ascii="Times New Roman" w:hAnsi="Times New Roman" w:eastAsia="Calibri"/>
          <w:bCs/>
          <w:sz w:val="26"/>
          <w:szCs w:val="26"/>
        </w:rPr>
      </w:pPr>
      <w:r>
        <w:rPr>
          <w:rFonts w:ascii="Times New Roman" w:hAnsi="Times New Roman"/>
          <w:bCs/>
          <w:sz w:val="26"/>
          <w:szCs w:val="26"/>
          <w:u w:val="single"/>
        </w:rPr>
        <w:t>- Для ведения личного подсобного хозяйства</w:t>
      </w:r>
      <w:r>
        <w:rPr>
          <w:rFonts w:ascii="Times New Roman" w:hAnsi="Times New Roman"/>
          <w:bCs/>
          <w:sz w:val="26"/>
          <w:szCs w:val="26"/>
        </w:rPr>
        <w:t xml:space="preserve"> (приусадебный земельный участок)</w:t>
      </w:r>
      <w:r>
        <w:rPr>
          <w:rFonts w:ascii="Times New Roman" w:hAnsi="Times New Roman" w:eastAsia="Calibri"/>
          <w:bCs/>
          <w:sz w:val="26"/>
          <w:szCs w:val="26"/>
        </w:rPr>
        <w:t xml:space="preserve"> (</w:t>
      </w:r>
      <w:r>
        <w:rPr>
          <w:rFonts w:ascii="Times New Roman" w:hAnsi="Times New Roman"/>
          <w:bCs/>
          <w:sz w:val="26"/>
          <w:szCs w:val="2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производство сельскохозяйственной продукции;размещение гаража и иных вспомогательных сооружений; содержание сельскохозяйственных животных</w:t>
      </w:r>
      <w:r>
        <w:rPr>
          <w:rFonts w:ascii="Times New Roman" w:hAnsi="Times New Roman" w:eastAsia="Calibri"/>
          <w:bCs/>
          <w:sz w:val="26"/>
          <w:szCs w:val="26"/>
        </w:rPr>
        <w:t xml:space="preserve">); </w:t>
      </w:r>
    </w:p>
    <w:p>
      <w:pPr>
        <w:rPr>
          <w:rFonts w:ascii="Times New Roman" w:hAnsi="Times New Roman"/>
          <w:bCs/>
          <w:sz w:val="26"/>
          <w:szCs w:val="26"/>
        </w:rPr>
      </w:pPr>
      <w:r>
        <w:rPr>
          <w:rFonts w:ascii="Times New Roman" w:hAnsi="Times New Roman" w:eastAsia="Calibri"/>
          <w:bCs/>
          <w:sz w:val="26"/>
          <w:szCs w:val="26"/>
          <w:u w:val="single"/>
        </w:rPr>
        <w:t xml:space="preserve">- </w:t>
      </w:r>
      <w:r>
        <w:rPr>
          <w:rFonts w:ascii="Times New Roman" w:hAnsi="Times New Roman"/>
          <w:bCs/>
          <w:sz w:val="26"/>
          <w:szCs w:val="26"/>
          <w:u w:val="single"/>
        </w:rPr>
        <w:t>Обслуживание жилой застройки</w:t>
      </w:r>
      <w:r>
        <w:rPr>
          <w:rFonts w:ascii="Times New Roman" w:hAnsi="Times New Roman" w:eastAsia="Calibri"/>
          <w:bCs/>
          <w:sz w:val="26"/>
          <w:szCs w:val="26"/>
        </w:rPr>
        <w:t xml:space="preserve"> (р</w:t>
      </w:r>
      <w:r>
        <w:rPr>
          <w:rFonts w:ascii="Times New Roman" w:hAnsi="Times New Roman"/>
          <w:bCs/>
          <w:sz w:val="26"/>
          <w:szCs w:val="26"/>
        </w:rPr>
        <w:t>азмещение объектов капитального строительства, размещение которых предусмотрено видами разрешенного использования: коммунальное обслуживание, социальное обслуживание, бытовое обслуживание, здравоохранение, амбулаторно-поликлиническое обслуживание, дошкольное, начальное и среднее общее образование, культурное развитие, религиозное использование, амбулаторное ветеринарное обслуживание, деловое управление, рынки, магазины, общественное питание, обеспечение занятий спортом в помещениях, площадки для занятий спортом,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pPr>
        <w:rPr>
          <w:rFonts w:ascii="Times New Roman" w:hAnsi="Times New Roman" w:eastAsia="Arial Unicode MS"/>
          <w:bCs/>
          <w:sz w:val="26"/>
          <w:szCs w:val="26"/>
        </w:rPr>
      </w:pPr>
      <w:r>
        <w:rPr>
          <w:rFonts w:ascii="Times New Roman" w:hAnsi="Times New Roman"/>
          <w:bCs/>
          <w:sz w:val="26"/>
          <w:szCs w:val="26"/>
          <w:u w:val="single"/>
        </w:rPr>
        <w:t>- Гостиничное обслуживание</w:t>
      </w:r>
      <w:r>
        <w:rPr>
          <w:rFonts w:ascii="Times New Roman" w:hAnsi="Times New Roman"/>
          <w:bCs/>
          <w:sz w:val="26"/>
          <w:szCs w:val="26"/>
        </w:rPr>
        <w:t xml:space="preserve"> (размещение гостиниц);</w:t>
      </w:r>
    </w:p>
    <w:p>
      <w:pPr>
        <w:rPr>
          <w:rFonts w:ascii="Times New Roman" w:hAnsi="Times New Roman"/>
          <w:bCs/>
          <w:sz w:val="26"/>
          <w:szCs w:val="26"/>
        </w:rPr>
      </w:pPr>
      <w:r>
        <w:rPr>
          <w:rFonts w:ascii="Times New Roman" w:hAnsi="Times New Roman"/>
          <w:bCs/>
          <w:sz w:val="26"/>
          <w:szCs w:val="26"/>
          <w:u w:val="single"/>
        </w:rPr>
        <w:t>- Бытовое обслуживание</w:t>
      </w:r>
      <w:r>
        <w:rPr>
          <w:rFonts w:ascii="Times New Roman" w:hAnsi="Times New Roman"/>
          <w:bCs/>
          <w:sz w:val="26"/>
          <w:szCs w:val="26"/>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pPr>
        <w:rPr>
          <w:rFonts w:ascii="Times New Roman" w:hAnsi="Times New Roman"/>
          <w:bCs/>
          <w:sz w:val="26"/>
          <w:szCs w:val="26"/>
        </w:rPr>
      </w:pPr>
      <w:r>
        <w:rPr>
          <w:rFonts w:ascii="Times New Roman" w:hAnsi="Times New Roman"/>
          <w:bCs/>
          <w:sz w:val="26"/>
          <w:szCs w:val="26"/>
          <w:u w:val="single"/>
        </w:rPr>
        <w:t>- Социальное обслуживание</w:t>
      </w:r>
      <w:r>
        <w:rPr>
          <w:rFonts w:ascii="Times New Roman" w:hAnsi="Times New Roman"/>
          <w:bCs/>
          <w:sz w:val="26"/>
          <w:szCs w:val="26"/>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следующих видов разрешенного использования: 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размещение зданий, предназначенных для размещения пунктов оказания услуг почтовой, телеграфной, междугородней и международной телефонной связи); размещение зданий, предназначенных для размещения общежитий, предназначенных для проживания граждан на время их работы, службы или обучения);</w:t>
      </w:r>
    </w:p>
    <w:p>
      <w:pPr>
        <w:rPr>
          <w:rFonts w:ascii="Times New Roman" w:hAnsi="Times New Roman"/>
          <w:bCs/>
          <w:sz w:val="26"/>
          <w:szCs w:val="26"/>
        </w:rPr>
      </w:pPr>
      <w:r>
        <w:rPr>
          <w:rFonts w:ascii="Times New Roman" w:hAnsi="Times New Roman"/>
          <w:bCs/>
          <w:sz w:val="26"/>
          <w:szCs w:val="26"/>
          <w:u w:val="single"/>
        </w:rPr>
        <w:t>- Обеспечение внутреннего правопорядка</w:t>
      </w:r>
      <w:r>
        <w:rPr>
          <w:rFonts w:ascii="Times New Roman" w:hAnsi="Times New Roman"/>
          <w:bCs/>
          <w:sz w:val="26"/>
          <w:szCs w:val="26"/>
        </w:rPr>
        <w:t xml:space="preserve">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pPr>
        <w:rPr>
          <w:rFonts w:ascii="Times New Roman" w:hAnsi="Times New Roman"/>
          <w:bCs/>
          <w:sz w:val="26"/>
          <w:szCs w:val="26"/>
        </w:rPr>
      </w:pPr>
      <w:r>
        <w:rPr>
          <w:rFonts w:ascii="Times New Roman" w:hAnsi="Times New Roman"/>
          <w:bCs/>
          <w:sz w:val="26"/>
          <w:szCs w:val="26"/>
          <w:u w:val="single"/>
        </w:rPr>
        <w:t>- Культурное развитие</w:t>
      </w:r>
      <w:r>
        <w:rPr>
          <w:rFonts w:ascii="Times New Roman" w:hAnsi="Times New Roman"/>
          <w:bCs/>
          <w:sz w:val="26"/>
          <w:szCs w:val="26"/>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следующих видов разрешенного использования: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размещение парков культуры и отдыха,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pPr>
        <w:rPr>
          <w:rFonts w:ascii="Times New Roman" w:hAnsi="Times New Roman"/>
          <w:bCs/>
          <w:sz w:val="26"/>
          <w:szCs w:val="26"/>
        </w:rPr>
      </w:pPr>
      <w:r>
        <w:rPr>
          <w:rFonts w:ascii="Times New Roman" w:hAnsi="Times New Roman"/>
          <w:bCs/>
          <w:sz w:val="26"/>
          <w:szCs w:val="26"/>
          <w:u w:val="single"/>
        </w:rPr>
        <w:t>- Общественное питание</w:t>
      </w:r>
      <w:r>
        <w:rPr>
          <w:rFonts w:ascii="Times New Roman" w:hAnsi="Times New Roman"/>
          <w:bCs/>
          <w:sz w:val="26"/>
          <w:szCs w:val="26"/>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pPr>
        <w:rPr>
          <w:rFonts w:ascii="Times New Roman" w:hAnsi="Times New Roman"/>
          <w:bCs/>
          <w:sz w:val="26"/>
          <w:szCs w:val="26"/>
        </w:rPr>
      </w:pPr>
      <w:r>
        <w:rPr>
          <w:rFonts w:ascii="Times New Roman" w:hAnsi="Times New Roman"/>
          <w:bCs/>
          <w:sz w:val="26"/>
          <w:szCs w:val="26"/>
          <w:u w:val="single"/>
        </w:rPr>
        <w:t>- Деловое управление</w:t>
      </w:r>
      <w:r>
        <w:rPr>
          <w:rFonts w:ascii="Times New Roman" w:hAnsi="Times New Roman"/>
          <w:bCs/>
          <w:sz w:val="26"/>
          <w:szCs w:val="26"/>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pPr>
        <w:rPr>
          <w:rFonts w:ascii="Times New Roman" w:hAnsi="Times New Roman"/>
          <w:bCs/>
          <w:sz w:val="26"/>
          <w:szCs w:val="26"/>
        </w:rPr>
      </w:pPr>
      <w:r>
        <w:rPr>
          <w:rFonts w:ascii="Times New Roman" w:hAnsi="Times New Roman"/>
          <w:bCs/>
          <w:sz w:val="26"/>
          <w:szCs w:val="26"/>
          <w:u w:val="single"/>
        </w:rPr>
        <w:t>- Банковская и страховая деятельность</w:t>
      </w:r>
      <w:r>
        <w:rPr>
          <w:rFonts w:ascii="Times New Roman" w:hAnsi="Times New Roman"/>
          <w:bCs/>
          <w:sz w:val="26"/>
          <w:szCs w:val="26"/>
        </w:rPr>
        <w:t xml:space="preserve"> (размещение объектов капитального строительства, предназначенных для размещения организаций, оказывающих банковские и страховые услуги);</w:t>
      </w:r>
    </w:p>
    <w:p>
      <w:pPr>
        <w:rPr>
          <w:rFonts w:ascii="Times New Roman" w:hAnsi="Times New Roman"/>
          <w:bCs/>
          <w:sz w:val="26"/>
          <w:szCs w:val="26"/>
        </w:rPr>
      </w:pPr>
      <w:r>
        <w:rPr>
          <w:rFonts w:ascii="Times New Roman" w:hAnsi="Times New Roman"/>
          <w:bCs/>
          <w:sz w:val="26"/>
          <w:szCs w:val="26"/>
          <w:u w:val="single"/>
        </w:rPr>
        <w:t>- Предпринимательство</w:t>
      </w:r>
      <w:r>
        <w:rPr>
          <w:rFonts w:ascii="Times New Roman" w:hAnsi="Times New Roman"/>
          <w:bCs/>
          <w:sz w:val="26"/>
          <w:szCs w:val="26"/>
        </w:rPr>
        <w:t xml:space="preserve">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pPr>
        <w:rPr>
          <w:rFonts w:ascii="Times New Roman" w:hAnsi="Times New Roman"/>
          <w:bCs/>
          <w:sz w:val="26"/>
          <w:szCs w:val="26"/>
        </w:rPr>
      </w:pPr>
      <w:r>
        <w:rPr>
          <w:rFonts w:ascii="Times New Roman" w:hAnsi="Times New Roman"/>
          <w:bCs/>
          <w:sz w:val="26"/>
          <w:szCs w:val="26"/>
          <w:u w:val="single"/>
        </w:rPr>
        <w:t>- Магазины</w:t>
      </w:r>
      <w:r>
        <w:rPr>
          <w:rFonts w:ascii="Times New Roman" w:hAnsi="Times New Roman"/>
          <w:bCs/>
          <w:sz w:val="26"/>
          <w:szCs w:val="26"/>
        </w:rPr>
        <w:t xml:space="preserve"> (размещение объектов капитального строительства, предназначенных для продажи товаров, торговая площадь которых составляет до 5000 кв. м.); </w:t>
      </w:r>
    </w:p>
    <w:p>
      <w:pPr>
        <w:rPr>
          <w:rFonts w:ascii="Times New Roman" w:hAnsi="Times New Roman"/>
          <w:bCs/>
          <w:sz w:val="26"/>
          <w:szCs w:val="26"/>
        </w:rPr>
      </w:pPr>
      <w:r>
        <w:rPr>
          <w:rFonts w:ascii="Times New Roman" w:hAnsi="Times New Roman"/>
          <w:bCs/>
          <w:sz w:val="26"/>
          <w:szCs w:val="26"/>
          <w:u w:val="single"/>
        </w:rPr>
        <w:t xml:space="preserve">- Рынки </w:t>
      </w:r>
      <w:r>
        <w:rPr>
          <w:rFonts w:ascii="Times New Roman" w:hAnsi="Times New Roman"/>
          <w:bCs/>
          <w:sz w:val="26"/>
          <w:szCs w:val="2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pPr>
        <w:rPr>
          <w:rFonts w:ascii="Times New Roman" w:hAnsi="Times New Roman"/>
          <w:bCs/>
          <w:sz w:val="26"/>
          <w:szCs w:val="26"/>
        </w:rPr>
      </w:pPr>
      <w:r>
        <w:rPr>
          <w:rFonts w:ascii="Times New Roman" w:hAnsi="Times New Roman"/>
          <w:bCs/>
          <w:sz w:val="26"/>
          <w:szCs w:val="26"/>
          <w:u w:val="single"/>
        </w:rPr>
        <w:t xml:space="preserve">- Развлечение </w:t>
      </w:r>
      <w:r>
        <w:rPr>
          <w:rFonts w:ascii="Times New Roman" w:hAnsi="Times New Roman"/>
          <w:bCs/>
          <w:sz w:val="26"/>
          <w:szCs w:val="26"/>
        </w:rPr>
        <w:t>(размещение зданий и сооружений, предназначенных для развлечения. Содержание данного вида разрешенного использования включает в себя содержание следующих видов разрешенного использования: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pPr>
        <w:rPr>
          <w:rFonts w:ascii="Times New Roman" w:hAnsi="Times New Roman"/>
          <w:bCs/>
          <w:sz w:val="26"/>
          <w:szCs w:val="26"/>
        </w:rPr>
      </w:pPr>
      <w:r>
        <w:rPr>
          <w:rFonts w:ascii="Times New Roman" w:hAnsi="Times New Roman"/>
          <w:bCs/>
          <w:sz w:val="26"/>
          <w:szCs w:val="26"/>
          <w:u w:val="single"/>
        </w:rPr>
        <w:t>-  Объекты дорожного сервиса</w:t>
      </w:r>
      <w:r>
        <w:rPr>
          <w:rFonts w:ascii="Times New Roman" w:hAnsi="Times New Roman"/>
          <w:bCs/>
          <w:sz w:val="26"/>
          <w:szCs w:val="26"/>
        </w:rPr>
        <w:t xml:space="preserve"> (размещение зданий и сооружений дорожного сервиса. Содержание данного вида разрешенного использования включает в себя содержание следующих видов разрешенного использования: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размещение автомобильных моек, а также размещение магазинов сопутствующей торговли;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pPr>
        <w:rPr>
          <w:rFonts w:ascii="Times New Roman" w:hAnsi="Times New Roman"/>
          <w:bCs/>
          <w:sz w:val="26"/>
          <w:szCs w:val="26"/>
        </w:rPr>
      </w:pPr>
      <w:r>
        <w:rPr>
          <w:rFonts w:ascii="Times New Roman" w:hAnsi="Times New Roman"/>
          <w:bCs/>
          <w:sz w:val="26"/>
          <w:szCs w:val="26"/>
          <w:u w:val="single"/>
        </w:rPr>
        <w:t>- Ветеринарное обслуживание</w:t>
      </w:r>
      <w:r>
        <w:rPr>
          <w:rFonts w:ascii="Times New Roman" w:hAnsi="Times New Roman"/>
          <w:bCs/>
          <w:sz w:val="26"/>
          <w:szCs w:val="26"/>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следующих видов разрешенного использования: размещение объектов капитального строительства, предназначенных для оказания ветеринарных услуг без содержания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p>
      <w:pPr>
        <w:rPr>
          <w:rFonts w:ascii="Times New Roman" w:hAnsi="Times New Roman"/>
          <w:bCs/>
          <w:sz w:val="26"/>
          <w:szCs w:val="26"/>
        </w:rPr>
      </w:pPr>
      <w:r>
        <w:rPr>
          <w:rFonts w:ascii="Times New Roman" w:hAnsi="Times New Roman"/>
          <w:bCs/>
          <w:sz w:val="26"/>
          <w:szCs w:val="26"/>
          <w:u w:val="single"/>
        </w:rPr>
        <w:t>- Пчеловодство</w:t>
      </w:r>
      <w:r>
        <w:rPr>
          <w:rFonts w:ascii="Times New Roman" w:hAnsi="Times New Roman"/>
          <w:bCs/>
          <w:sz w:val="26"/>
          <w:szCs w:val="26"/>
        </w:rPr>
        <w:t xml:space="preserve">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p>
      <w:pPr>
        <w:tabs>
          <w:tab w:val="left" w:pos="709"/>
        </w:tabs>
        <w:rPr>
          <w:rFonts w:ascii="Times New Roman" w:hAnsi="Times New Roman" w:eastAsia="Calibri"/>
          <w:bCs/>
          <w:sz w:val="26"/>
          <w:szCs w:val="26"/>
          <w:u w:val="single"/>
          <w:lang w:eastAsia="en-US"/>
        </w:rPr>
      </w:pPr>
      <w:r>
        <w:rPr>
          <w:rFonts w:ascii="Times New Roman" w:hAnsi="Times New Roman" w:eastAsia="Calibri"/>
          <w:bCs/>
          <w:sz w:val="26"/>
          <w:szCs w:val="26"/>
          <w:u w:val="single"/>
          <w:lang w:eastAsia="en-US"/>
        </w:rPr>
        <w:t xml:space="preserve">Вспомогательные виды разрешенного использования </w:t>
      </w:r>
    </w:p>
    <w:p>
      <w:pPr>
        <w:rPr>
          <w:rFonts w:ascii="Times New Roman" w:hAnsi="Times New Roman"/>
          <w:bCs/>
          <w:sz w:val="26"/>
          <w:szCs w:val="26"/>
        </w:rPr>
      </w:pPr>
      <w:r>
        <w:rPr>
          <w:rFonts w:ascii="Times New Roman" w:hAnsi="Times New Roman"/>
          <w:bCs/>
          <w:sz w:val="26"/>
          <w:szCs w:val="26"/>
          <w:u w:val="single"/>
        </w:rPr>
        <w:t xml:space="preserve">- </w:t>
      </w:r>
      <w:r>
        <w:rPr>
          <w:rFonts w:ascii="Times New Roman" w:hAnsi="Times New Roman" w:eastAsia="Calibri"/>
          <w:bCs/>
          <w:sz w:val="26"/>
          <w:szCs w:val="26"/>
          <w:u w:val="single"/>
        </w:rPr>
        <w:t>Трубопроводный транспорт</w:t>
      </w:r>
      <w:r>
        <w:rPr>
          <w:rFonts w:ascii="Times New Roman" w:hAnsi="Times New Roman" w:eastAsia="Calibri"/>
          <w:bCs/>
          <w:sz w:val="26"/>
          <w:szCs w:val="26"/>
        </w:rPr>
        <w:t xml:space="preserve"> (</w:t>
      </w:r>
      <w:r>
        <w:rPr>
          <w:rFonts w:ascii="Times New Roman" w:hAnsi="Times New Roman"/>
          <w:bCs/>
          <w:sz w:val="26"/>
          <w:szCs w:val="2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Pr>
          <w:rFonts w:ascii="Times New Roman" w:hAnsi="Times New Roman" w:eastAsia="Calibri"/>
          <w:bCs/>
          <w:sz w:val="26"/>
          <w:szCs w:val="26"/>
        </w:rPr>
        <w:t>);</w:t>
      </w:r>
    </w:p>
    <w:p>
      <w:pPr>
        <w:rPr>
          <w:rFonts w:ascii="Times New Roman" w:hAnsi="Times New Roman"/>
          <w:bCs/>
          <w:sz w:val="26"/>
          <w:szCs w:val="26"/>
        </w:rPr>
      </w:pPr>
      <w:r>
        <w:rPr>
          <w:rFonts w:ascii="Times New Roman" w:hAnsi="Times New Roman"/>
          <w:bCs/>
          <w:sz w:val="26"/>
          <w:szCs w:val="26"/>
          <w:u w:val="single"/>
        </w:rPr>
        <w:t>- Автомобильный транспорт</w:t>
      </w:r>
      <w:r>
        <w:rPr>
          <w:rFonts w:ascii="Times New Roman" w:hAnsi="Times New Roman"/>
          <w:bCs/>
          <w:sz w:val="26"/>
          <w:szCs w:val="26"/>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следующих видов разрешенного использования: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зданий и сооружений, предназначенных для обслуживания пассажиров, стоянок транспортных средств, осуществляющих перевозки людей по установленному маршруту);</w:t>
      </w:r>
    </w:p>
    <w:p>
      <w:pPr>
        <w:rPr>
          <w:rFonts w:ascii="Times New Roman" w:hAnsi="Times New Roman"/>
          <w:bCs/>
          <w:sz w:val="26"/>
          <w:szCs w:val="26"/>
        </w:rPr>
      </w:pPr>
      <w:r>
        <w:rPr>
          <w:rFonts w:ascii="Times New Roman" w:hAnsi="Times New Roman"/>
          <w:bCs/>
          <w:sz w:val="26"/>
          <w:szCs w:val="26"/>
          <w:u w:val="single"/>
        </w:rPr>
        <w:t>- Связь</w:t>
      </w:r>
      <w:r>
        <w:rPr>
          <w:rFonts w:ascii="Times New Roman" w:hAnsi="Times New Roman"/>
          <w:bCs/>
          <w:sz w:val="26"/>
          <w:szCs w:val="26"/>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p>
      <w:pPr>
        <w:rPr>
          <w:rFonts w:ascii="Times New Roman" w:hAnsi="Times New Roman"/>
          <w:bCs/>
          <w:sz w:val="26"/>
          <w:szCs w:val="26"/>
        </w:rPr>
      </w:pPr>
      <w:r>
        <w:rPr>
          <w:rFonts w:ascii="Times New Roman" w:hAnsi="Times New Roman"/>
          <w:bCs/>
          <w:sz w:val="26"/>
          <w:szCs w:val="26"/>
          <w:u w:val="single"/>
        </w:rPr>
        <w:t>- Обеспечение деятельности в области гидрометеорологии и смежных с ней областях</w:t>
      </w:r>
      <w:r>
        <w:rPr>
          <w:rFonts w:ascii="Times New Roman" w:hAnsi="Times New Roman"/>
          <w:bCs/>
          <w:sz w:val="26"/>
          <w:szCs w:val="26"/>
        </w:rPr>
        <w:t xml:space="preserve">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pPr>
        <w:rPr>
          <w:rFonts w:ascii="Times New Roman" w:hAnsi="Times New Roman"/>
          <w:bCs/>
          <w:sz w:val="26"/>
          <w:szCs w:val="26"/>
        </w:rPr>
      </w:pPr>
      <w:r>
        <w:rPr>
          <w:rFonts w:ascii="Times New Roman" w:hAnsi="Times New Roman"/>
          <w:bCs/>
          <w:sz w:val="26"/>
          <w:szCs w:val="26"/>
          <w:u w:val="single"/>
        </w:rPr>
        <w:t>- Земельные участки (территории) общего пользования</w:t>
      </w:r>
      <w:r>
        <w:rPr>
          <w:rFonts w:ascii="Times New Roman" w:hAnsi="Times New Roman"/>
          <w:bCs/>
          <w:sz w:val="26"/>
          <w:szCs w:val="26"/>
        </w:rPr>
        <w:t xml:space="preserve"> (земельные участки общего пользования. Содержание данного вида разрешенного использования включает в себя содержание следующих видов разрешенного использования: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pPr>
        <w:rPr>
          <w:rFonts w:ascii="Times New Roman" w:hAnsi="Times New Roman"/>
          <w:bCs/>
          <w:sz w:val="26"/>
          <w:szCs w:val="26"/>
        </w:rPr>
      </w:pPr>
      <w:r>
        <w:rPr>
          <w:rFonts w:ascii="Times New Roman" w:hAnsi="Times New Roman"/>
          <w:bCs/>
          <w:sz w:val="26"/>
          <w:szCs w:val="26"/>
          <w:u w:val="single"/>
        </w:rPr>
        <w:t>- Спорт</w:t>
      </w:r>
      <w:r>
        <w:rPr>
          <w:rFonts w:ascii="Times New Roman" w:hAnsi="Times New Roman"/>
          <w:bCs/>
          <w:sz w:val="26"/>
          <w:szCs w:val="26"/>
        </w:rPr>
        <w:t xml:space="preserve"> (размещение зданий и сооружений для занятия спортом. Содержание данного вида разрешенного использования включает в себя содержание следующих видов разрешенного использования: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спортивных клубов, спортивных залов, бассейнов, физкультурно-оздоровительных комплексов в зданиях и сооружениях, площадок для занятия спортом и физкультурой на открытом воздухе (физкультурные площадки, беговые дорожки, поля для спортивной игры), сооружений для занятия спортом и физкультурой на открытом воздухе (теннисные корты, автодромы, мотодромы, трамплины, спортивные стрельбища),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 спортивных баз и лагерей, в которых осуществляется спортивная подготовка длительно проживающих в них лиц);</w:t>
      </w:r>
    </w:p>
    <w:p>
      <w:pPr>
        <w:rPr>
          <w:rFonts w:ascii="Times New Roman" w:hAnsi="Times New Roman"/>
          <w:bCs/>
          <w:sz w:val="26"/>
          <w:szCs w:val="26"/>
        </w:rPr>
      </w:pPr>
      <w:r>
        <w:rPr>
          <w:rFonts w:ascii="Times New Roman" w:hAnsi="Times New Roman"/>
          <w:bCs/>
          <w:sz w:val="26"/>
          <w:szCs w:val="26"/>
          <w:u w:val="single"/>
        </w:rPr>
        <w:t>- Отдых (рекреация)</w:t>
      </w:r>
      <w:r>
        <w:rPr>
          <w:rFonts w:ascii="Times New Roman" w:hAnsi="Times New Roman"/>
          <w:bCs/>
          <w:sz w:val="26"/>
          <w:szCs w:val="26"/>
        </w:rPr>
        <w:t xml:space="preserve">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размещение зданий и сооружений для занятия спортом,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размещение сооружений, предназначенных для причаливания, хранения и обслуживания яхт, катеров, лодок и других маломерных судов,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p>
      <w:pPr>
        <w:tabs>
          <w:tab w:val="left" w:pos="709"/>
        </w:tabs>
        <w:rPr>
          <w:rFonts w:ascii="Times New Roman" w:hAnsi="Times New Roman" w:eastAsia="Calibri"/>
          <w:bCs/>
          <w:sz w:val="26"/>
          <w:szCs w:val="26"/>
          <w:lang w:eastAsia="en-US"/>
        </w:rPr>
      </w:pPr>
      <w:r>
        <w:rPr>
          <w:rFonts w:ascii="Times New Roman" w:hAnsi="Times New Roman" w:eastAsia="Calibri"/>
          <w:bCs/>
          <w:sz w:val="26"/>
          <w:szCs w:val="26"/>
          <w:u w:val="single"/>
          <w:lang w:eastAsia="en-US"/>
        </w:rPr>
        <w:t>- Водные объекты</w:t>
      </w:r>
      <w:r>
        <w:rPr>
          <w:rFonts w:ascii="Times New Roman" w:hAnsi="Times New Roman" w:eastAsia="Calibri"/>
          <w:bCs/>
          <w:sz w:val="26"/>
          <w:szCs w:val="26"/>
          <w:lang w:eastAsia="en-US"/>
        </w:rPr>
        <w:t xml:space="preserve"> (ледники, снежники, ручьи, реки, озера, болота, территориальные моря и другие поверхностные водные объекты);</w:t>
      </w:r>
    </w:p>
    <w:p>
      <w:pPr>
        <w:tabs>
          <w:tab w:val="left" w:pos="709"/>
        </w:tabs>
        <w:rPr>
          <w:rFonts w:ascii="Times New Roman" w:hAnsi="Times New Roman" w:eastAsia="Calibri"/>
          <w:bCs/>
          <w:sz w:val="26"/>
          <w:szCs w:val="26"/>
          <w:lang w:eastAsia="en-US"/>
        </w:rPr>
      </w:pPr>
      <w:r>
        <w:rPr>
          <w:rFonts w:ascii="Times New Roman" w:hAnsi="Times New Roman" w:eastAsia="Calibri"/>
          <w:bCs/>
          <w:sz w:val="26"/>
          <w:szCs w:val="26"/>
          <w:u w:val="single"/>
          <w:lang w:eastAsia="en-US"/>
        </w:rPr>
        <w:t>- Общее пользование водными объектами</w:t>
      </w:r>
      <w:r>
        <w:rPr>
          <w:rFonts w:ascii="Times New Roman" w:hAnsi="Times New Roman" w:eastAsia="Calibri"/>
          <w:bCs/>
          <w:sz w:val="26"/>
          <w:szCs w:val="26"/>
          <w:lang w:eastAsia="en-US"/>
        </w:rPr>
        <w:t xml:space="preserve">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pPr>
        <w:tabs>
          <w:tab w:val="left" w:pos="709"/>
        </w:tabs>
        <w:rPr>
          <w:rFonts w:ascii="Times New Roman" w:hAnsi="Times New Roman" w:eastAsia="Calibri"/>
          <w:bCs/>
          <w:sz w:val="26"/>
          <w:szCs w:val="26"/>
          <w:lang w:eastAsia="en-US"/>
        </w:rPr>
      </w:pPr>
      <w:r>
        <w:rPr>
          <w:rFonts w:ascii="Times New Roman" w:hAnsi="Times New Roman" w:eastAsia="Calibri"/>
          <w:bCs/>
          <w:sz w:val="26"/>
          <w:szCs w:val="26"/>
          <w:u w:val="single"/>
          <w:lang w:eastAsia="en-US"/>
        </w:rPr>
        <w:t>- Специальное пользование водными объектами</w:t>
      </w:r>
      <w:r>
        <w:rPr>
          <w:rFonts w:ascii="Times New Roman" w:hAnsi="Times New Roman" w:eastAsia="Calibri"/>
          <w:bCs/>
          <w:sz w:val="26"/>
          <w:szCs w:val="26"/>
          <w:lang w:eastAsia="en-US"/>
        </w:rPr>
        <w:t xml:space="preserve">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pPr>
        <w:tabs>
          <w:tab w:val="left" w:pos="709"/>
        </w:tabs>
        <w:rPr>
          <w:rFonts w:ascii="Times New Roman" w:hAnsi="Times New Roman" w:eastAsia="Calibri"/>
          <w:bCs/>
          <w:sz w:val="26"/>
          <w:szCs w:val="26"/>
          <w:lang w:eastAsia="en-US"/>
        </w:rPr>
      </w:pPr>
      <w:r>
        <w:rPr>
          <w:rFonts w:ascii="Times New Roman" w:hAnsi="Times New Roman" w:eastAsia="Calibri"/>
          <w:bCs/>
          <w:sz w:val="26"/>
          <w:szCs w:val="26"/>
          <w:u w:val="single"/>
          <w:lang w:eastAsia="en-US"/>
        </w:rPr>
        <w:t>- Гидротехнические сооружения</w:t>
      </w:r>
      <w:r>
        <w:rPr>
          <w:rFonts w:ascii="Times New Roman" w:hAnsi="Times New Roman" w:eastAsia="Calibri"/>
          <w:bCs/>
          <w:sz w:val="26"/>
          <w:szCs w:val="26"/>
          <w:lang w:eastAsia="en-US"/>
        </w:rPr>
        <w:t xml:space="preserve">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p>
      <w:pPr>
        <w:rPr>
          <w:rFonts w:ascii="Times New Roman" w:hAnsi="Times New Roman" w:eastAsia="Calibri"/>
          <w:bCs/>
          <w:sz w:val="26"/>
          <w:szCs w:val="26"/>
          <w:lang w:eastAsia="en-US"/>
        </w:rPr>
      </w:pPr>
      <w:r>
        <w:rPr>
          <w:rFonts w:ascii="Times New Roman" w:hAnsi="Times New Roman" w:eastAsia="Calibri"/>
          <w:bCs/>
          <w:sz w:val="26"/>
          <w:szCs w:val="26"/>
          <w:u w:val="single"/>
          <w:lang w:eastAsia="en-US"/>
        </w:rPr>
        <w:t>- Ведение огородничества</w:t>
      </w:r>
      <w:r>
        <w:rPr>
          <w:rFonts w:ascii="Times New Roman" w:hAnsi="Times New Roman" w:eastAsia="Calibri"/>
          <w:bCs/>
          <w:sz w:val="26"/>
          <w:szCs w:val="26"/>
          <w:lang w:eastAsia="en-US"/>
        </w:rPr>
        <w:t xml:space="preserve">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pPr>
        <w:tabs>
          <w:tab w:val="left" w:pos="0"/>
        </w:tabs>
        <w:rPr>
          <w:rFonts w:ascii="Times New Roman" w:hAnsi="Times New Roman" w:eastAsia="Arial Unicode MS"/>
          <w:bCs/>
          <w:sz w:val="26"/>
          <w:szCs w:val="26"/>
          <w:lang w:eastAsia="en-US"/>
        </w:rPr>
      </w:pPr>
      <w:r>
        <w:rPr>
          <w:rFonts w:ascii="Times New Roman" w:hAnsi="Times New Roman" w:eastAsia="Calibri"/>
          <w:bCs/>
          <w:sz w:val="26"/>
          <w:szCs w:val="26"/>
          <w:lang w:eastAsia="en-US"/>
        </w:rPr>
        <w:t>*Примечание</w:t>
      </w:r>
    </w:p>
    <w:p>
      <w:pPr>
        <w:tabs>
          <w:tab w:val="left" w:pos="0"/>
        </w:tabs>
        <w:ind w:firstLine="0"/>
        <w:rPr>
          <w:rFonts w:ascii="Times New Roman" w:hAnsi="Times New Roman" w:eastAsia="Calibri"/>
          <w:bCs/>
          <w:sz w:val="26"/>
          <w:szCs w:val="26"/>
          <w:lang w:eastAsia="en-US"/>
        </w:rPr>
      </w:pPr>
      <w:r>
        <w:rPr>
          <w:rFonts w:ascii="Times New Roman" w:hAnsi="Times New Roman" w:eastAsia="Calibri"/>
          <w:bCs/>
          <w:sz w:val="26"/>
          <w:szCs w:val="26"/>
          <w:lang w:eastAsia="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tabs>
          <w:tab w:val="left" w:pos="0"/>
        </w:tabs>
        <w:spacing w:before="0" w:after="0"/>
        <w:ind w:firstLine="0"/>
        <w:rPr>
          <w:rFonts w:ascii="Times New Roman" w:hAnsi="Times New Roman"/>
          <w:bCs/>
          <w:sz w:val="26"/>
          <w:szCs w:val="26"/>
        </w:rPr>
      </w:pPr>
      <w:r>
        <w:rPr>
          <w:rFonts w:ascii="Times New Roman" w:hAnsi="Times New Roman"/>
          <w:bCs/>
          <w:sz w:val="26"/>
          <w:szCs w:val="26"/>
        </w:rPr>
        <w:t>Предельные параметры земельных участков и предельные параметры разрешенного строительства, реконструкции объектов капитального строительства</w:t>
      </w:r>
    </w:p>
    <w:p>
      <w:pPr>
        <w:tabs>
          <w:tab w:val="left" w:pos="0"/>
        </w:tabs>
        <w:spacing w:before="0" w:after="0"/>
        <w:ind w:firstLine="0"/>
        <w:rPr>
          <w:rFonts w:ascii="Times New Roman" w:hAnsi="Times New Roman"/>
          <w:bCs/>
          <w:sz w:val="26"/>
          <w:szCs w:val="26"/>
        </w:rPr>
      </w:pPr>
    </w:p>
    <w:p>
      <w:pPr>
        <w:tabs>
          <w:tab w:val="left" w:pos="0"/>
        </w:tabs>
        <w:spacing w:before="0" w:after="0"/>
        <w:ind w:firstLine="0"/>
        <w:rPr>
          <w:rFonts w:ascii="Times New Roman" w:hAnsi="Times New Roman"/>
          <w:bCs/>
          <w:sz w:val="26"/>
          <w:szCs w:val="26"/>
        </w:rPr>
      </w:pPr>
    </w:p>
    <w:p>
      <w:pPr>
        <w:tabs>
          <w:tab w:val="left" w:pos="0"/>
        </w:tabs>
        <w:spacing w:before="0" w:after="0"/>
        <w:ind w:firstLine="0"/>
        <w:rPr>
          <w:rFonts w:ascii="Times New Roman" w:hAnsi="Times New Roman"/>
          <w:bCs/>
          <w:sz w:val="26"/>
          <w:szCs w:val="26"/>
        </w:rPr>
      </w:pPr>
    </w:p>
    <w:tbl>
      <w:tblPr>
        <w:tblStyle w:val="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8"/>
        <w:gridCol w:w="30"/>
        <w:gridCol w:w="699"/>
        <w:gridCol w:w="2136"/>
        <w:gridCol w:w="1842"/>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7" w:type="dxa"/>
            <w:gridSpan w:val="3"/>
            <w:vMerge w:val="restart"/>
            <w:tcBorders>
              <w:top w:val="single" w:color="auto" w:sz="4" w:space="0"/>
              <w:left w:val="single" w:color="auto" w:sz="4" w:space="0"/>
              <w:bottom w:val="single" w:color="auto" w:sz="4" w:space="0"/>
              <w:right w:val="single" w:color="auto" w:sz="4" w:space="0"/>
            </w:tcBorders>
            <w:noWrap w:val="0"/>
            <w:vAlign w:val="top"/>
          </w:tcPr>
          <w:p>
            <w:pPr>
              <w:tabs>
                <w:tab w:val="right" w:pos="567"/>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Виды параметров и единицы измерения</w:t>
            </w:r>
          </w:p>
        </w:tc>
        <w:tc>
          <w:tcPr>
            <w:tcW w:w="5822" w:type="dxa"/>
            <w:gridSpan w:val="3"/>
            <w:tcBorders>
              <w:top w:val="single" w:color="auto" w:sz="4" w:space="0"/>
              <w:left w:val="single" w:color="auto" w:sz="4" w:space="0"/>
              <w:bottom w:val="single" w:color="auto" w:sz="4" w:space="0"/>
              <w:right w:val="single" w:color="auto" w:sz="4" w:space="0"/>
            </w:tcBorders>
            <w:noWrap w:val="0"/>
            <w:vAlign w:val="top"/>
          </w:tcPr>
          <w:p>
            <w:pPr>
              <w:tabs>
                <w:tab w:val="right" w:pos="567"/>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Значения параметров применительно к основным разрешенным видам использования недвижимости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067"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before="0" w:after="0"/>
              <w:ind w:firstLine="0"/>
              <w:rPr>
                <w:rFonts w:ascii="Times New Roman" w:hAnsi="Times New Roman" w:eastAsia="Arial Unicode MS"/>
                <w:bCs/>
                <w:sz w:val="22"/>
                <w:szCs w:val="22"/>
                <w:lang w:eastAsia="en-US" w:bidi="en-US"/>
              </w:rPr>
            </w:pPr>
          </w:p>
        </w:tc>
        <w:tc>
          <w:tcPr>
            <w:tcW w:w="2136" w:type="dxa"/>
            <w:tcBorders>
              <w:top w:val="single" w:color="auto" w:sz="4" w:space="0"/>
              <w:left w:val="single" w:color="auto" w:sz="4" w:space="0"/>
              <w:bottom w:val="single" w:color="auto" w:sz="4" w:space="0"/>
              <w:right w:val="single" w:color="auto" w:sz="4" w:space="0"/>
            </w:tcBorders>
            <w:noWrap w:val="0"/>
            <w:vAlign w:val="top"/>
          </w:tcPr>
          <w:p>
            <w:pPr>
              <w:tabs>
                <w:tab w:val="right" w:pos="567"/>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 xml:space="preserve">Индивидуальный жилой дом </w:t>
            </w:r>
          </w:p>
        </w:tc>
        <w:tc>
          <w:tcPr>
            <w:tcW w:w="1842" w:type="dxa"/>
            <w:tcBorders>
              <w:top w:val="single" w:color="auto" w:sz="4" w:space="0"/>
              <w:left w:val="single" w:color="auto" w:sz="4" w:space="0"/>
              <w:bottom w:val="single" w:color="auto" w:sz="4" w:space="0"/>
              <w:right w:val="single" w:color="auto" w:sz="4" w:space="0"/>
            </w:tcBorders>
            <w:noWrap w:val="0"/>
            <w:vAlign w:val="top"/>
          </w:tcPr>
          <w:p>
            <w:pPr>
              <w:tabs>
                <w:tab w:val="right" w:pos="567"/>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Жилая единица в блокированном жилом  доме</w:t>
            </w:r>
          </w:p>
        </w:tc>
        <w:tc>
          <w:tcPr>
            <w:tcW w:w="1844" w:type="dxa"/>
            <w:tcBorders>
              <w:top w:val="single" w:color="auto" w:sz="4" w:space="0"/>
              <w:left w:val="single" w:color="auto" w:sz="4" w:space="0"/>
              <w:bottom w:val="single" w:color="auto" w:sz="4" w:space="0"/>
              <w:right w:val="single" w:color="auto" w:sz="4" w:space="0"/>
            </w:tcBorders>
            <w:noWrap w:val="0"/>
            <w:vAlign w:val="top"/>
          </w:tcPr>
          <w:p>
            <w:pPr>
              <w:tabs>
                <w:tab w:val="right" w:pos="567"/>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 xml:space="preserve">Нежилые объекты капитального строительства(за исключением гаражей)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7" w:type="dxa"/>
            <w:gridSpan w:val="3"/>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Предельные (минимальные и (или) максимальные размеры земельных участков и предельные параметры, в том числе их площадь</w:t>
            </w:r>
          </w:p>
        </w:tc>
        <w:tc>
          <w:tcPr>
            <w:tcW w:w="2136" w:type="dxa"/>
            <w:tcBorders>
              <w:top w:val="single" w:color="auto" w:sz="4" w:space="0"/>
              <w:left w:val="single" w:color="auto" w:sz="4" w:space="0"/>
              <w:bottom w:val="single" w:color="auto" w:sz="4" w:space="0"/>
              <w:right w:val="single" w:color="auto" w:sz="4" w:space="0"/>
            </w:tcBorders>
            <w:noWrap w:val="0"/>
            <w:vAlign w:val="top"/>
          </w:tcPr>
          <w:p>
            <w:pPr>
              <w:tabs>
                <w:tab w:val="right" w:pos="567"/>
              </w:tabs>
              <w:snapToGrid w:val="0"/>
              <w:spacing w:before="0" w:after="0"/>
              <w:ind w:firstLine="0"/>
              <w:rPr>
                <w:rFonts w:ascii="Times New Roman" w:hAnsi="Times New Roman" w:eastAsia="Arial Unicode MS"/>
                <w:bCs/>
                <w:sz w:val="22"/>
                <w:szCs w:val="22"/>
                <w:lang w:eastAsia="en-US" w:bidi="en-US"/>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tabs>
                <w:tab w:val="right" w:pos="567"/>
              </w:tabs>
              <w:snapToGrid w:val="0"/>
              <w:spacing w:before="0" w:after="0"/>
              <w:ind w:firstLine="0"/>
              <w:rPr>
                <w:rFonts w:ascii="Times New Roman" w:hAnsi="Times New Roman" w:eastAsia="Arial Unicode MS"/>
                <w:bCs/>
                <w:sz w:val="22"/>
                <w:szCs w:val="22"/>
                <w:lang w:eastAsia="en-US" w:bidi="en-US"/>
              </w:rPr>
            </w:pPr>
          </w:p>
        </w:tc>
        <w:tc>
          <w:tcPr>
            <w:tcW w:w="1844" w:type="dxa"/>
            <w:tcBorders>
              <w:top w:val="single" w:color="auto" w:sz="4" w:space="0"/>
              <w:left w:val="single" w:color="auto" w:sz="4" w:space="0"/>
              <w:bottom w:val="single" w:color="auto" w:sz="4" w:space="0"/>
              <w:right w:val="single" w:color="auto" w:sz="4" w:space="0"/>
            </w:tcBorders>
            <w:noWrap w:val="0"/>
            <w:vAlign w:val="top"/>
          </w:tcPr>
          <w:p>
            <w:pPr>
              <w:tabs>
                <w:tab w:val="right" w:pos="567"/>
              </w:tabs>
              <w:snapToGrid w:val="0"/>
              <w:spacing w:before="0" w:after="0"/>
              <w:ind w:firstLine="0"/>
              <w:rPr>
                <w:rFonts w:ascii="Times New Roman" w:hAnsi="Times New Roman" w:eastAsia="Arial Unicode MS"/>
                <w:bCs/>
                <w:sz w:val="22"/>
                <w:szCs w:val="22"/>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right" w:pos="-2943"/>
                <w:tab w:val="right" w:pos="567"/>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Минимальный размер земельного участка (для вновь образуемых земельных участков)</w:t>
            </w:r>
          </w:p>
        </w:tc>
        <w:tc>
          <w:tcPr>
            <w:tcW w:w="699" w:type="dxa"/>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кв.м</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400</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250</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Не требуется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708"/>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Максимальный размер земельного участка (для новых земельных участков)</w:t>
            </w:r>
          </w:p>
        </w:tc>
        <w:tc>
          <w:tcPr>
            <w:tcW w:w="699" w:type="dxa"/>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кв.м</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2000</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1000</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Не требуется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8" w:type="dxa"/>
            <w:tcBorders>
              <w:top w:val="single" w:color="auto" w:sz="4" w:space="0"/>
              <w:left w:val="single" w:color="auto" w:sz="4" w:space="0"/>
              <w:bottom w:val="single" w:color="auto" w:sz="4" w:space="0"/>
              <w:right w:val="single" w:color="auto" w:sz="4" w:space="0"/>
            </w:tcBorders>
            <w:noWrap w:val="0"/>
            <w:vAlign w:val="top"/>
          </w:tcPr>
          <w:p>
            <w:pPr>
              <w:tabs>
                <w:tab w:val="right" w:pos="-2943"/>
                <w:tab w:val="right" w:pos="567"/>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Минимальная ширина вдоль фронта улицы (проезда) (для вновь образуемых земельных участков)</w:t>
            </w:r>
          </w:p>
        </w:tc>
        <w:tc>
          <w:tcPr>
            <w:tcW w:w="729" w:type="dxa"/>
            <w:gridSpan w:val="2"/>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м</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15</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Не требуется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7" w:type="dxa"/>
            <w:gridSpan w:val="3"/>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Предельные параметры разрешенного строительства, реконструкции объектов капитального строительства в пределах участков</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708"/>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Максимальный процент застройки в границах земельного участка, определяемого как отношение суммарной площади</w:t>
            </w:r>
          </w:p>
        </w:tc>
        <w:tc>
          <w:tcPr>
            <w:tcW w:w="699" w:type="dxa"/>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50</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50</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708"/>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Минимальный отступ от передней границы земельного участка в целях определения места допустимого размещения зданий, строений, сооружений, за пределами которых запрещено строительство зданий, строений, сооружений</w:t>
            </w:r>
          </w:p>
        </w:tc>
        <w:tc>
          <w:tcPr>
            <w:tcW w:w="699" w:type="dxa"/>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м</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а) в соответствии со сложившейся линией застройки</w:t>
            </w:r>
          </w:p>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б) 5</w:t>
            </w:r>
            <w:r>
              <w:rPr>
                <w:rFonts w:ascii="Times New Roman" w:hAnsi="Times New Roman"/>
                <w:bCs/>
                <w:sz w:val="22"/>
                <w:szCs w:val="22"/>
                <w:lang w:val="en-US"/>
              </w:rPr>
              <w:t xml:space="preserve"> –</w:t>
            </w:r>
            <w:r>
              <w:rPr>
                <w:rFonts w:ascii="Times New Roman" w:hAnsi="Times New Roman"/>
                <w:bCs/>
                <w:sz w:val="22"/>
                <w:szCs w:val="22"/>
              </w:rPr>
              <w:t xml:space="preserve"> в новой застройке</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а) в соответствии со сложившейся линией застройки</w:t>
            </w:r>
          </w:p>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б) 5</w:t>
            </w:r>
            <w:r>
              <w:rPr>
                <w:rFonts w:ascii="Times New Roman" w:hAnsi="Times New Roman"/>
                <w:bCs/>
                <w:sz w:val="22"/>
                <w:szCs w:val="22"/>
                <w:lang w:val="en-US"/>
              </w:rPr>
              <w:t xml:space="preserve"> –</w:t>
            </w:r>
            <w:r>
              <w:rPr>
                <w:rFonts w:ascii="Times New Roman" w:hAnsi="Times New Roman"/>
                <w:bCs/>
                <w:sz w:val="22"/>
                <w:szCs w:val="22"/>
              </w:rPr>
              <w:t xml:space="preserve"> в новой застройке</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а) в соответствии со сложившейся линией застройки</w:t>
            </w:r>
          </w:p>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б)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708"/>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Минимальные отступы строений от боковых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99" w:type="dxa"/>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м</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а) 1 - при обязательном наличии брандмауэрной стены</w:t>
            </w:r>
          </w:p>
          <w:p>
            <w:pPr>
              <w:tabs>
                <w:tab w:val="right" w:pos="567"/>
              </w:tabs>
              <w:snapToGrid w:val="0"/>
              <w:spacing w:before="0" w:after="0"/>
              <w:ind w:firstLine="0"/>
              <w:jc w:val="center"/>
              <w:rPr>
                <w:rFonts w:ascii="Times New Roman" w:hAnsi="Times New Roman"/>
                <w:bCs/>
                <w:sz w:val="22"/>
                <w:szCs w:val="22"/>
              </w:rPr>
            </w:pPr>
            <w:r>
              <w:rPr>
                <w:rFonts w:ascii="Times New Roman" w:hAnsi="Times New Roman"/>
                <w:bCs/>
                <w:sz w:val="22"/>
                <w:szCs w:val="22"/>
              </w:rPr>
              <w:t>б) 3 - в иных случаях</w:t>
            </w:r>
          </w:p>
          <w:p>
            <w:pPr>
              <w:tabs>
                <w:tab w:val="right" w:pos="567"/>
              </w:tabs>
              <w:snapToGrid w:val="0"/>
              <w:spacing w:before="0" w:after="0"/>
              <w:ind w:firstLine="0"/>
              <w:jc w:val="center"/>
              <w:rPr>
                <w:rFonts w:ascii="Times New Roman" w:hAnsi="Times New Roman"/>
                <w:bCs/>
                <w:sz w:val="22"/>
                <w:szCs w:val="22"/>
              </w:rPr>
            </w:pPr>
            <w:r>
              <w:rPr>
                <w:rFonts w:ascii="Times New Roman" w:hAnsi="Times New Roman"/>
                <w:bCs/>
                <w:sz w:val="22"/>
                <w:szCs w:val="22"/>
              </w:rPr>
              <w:t>в) 5-в новой застройке</w:t>
            </w:r>
          </w:p>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г) при подготовке градостроительного плана в сложившейся застройке, отступы от боковых границ земельного участка обязаны обеспечивать противопожарный разрыв между капитальными строениями не менее 6 м</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а) 0 - в случае блокировки строений</w:t>
            </w:r>
          </w:p>
          <w:p>
            <w:pPr>
              <w:tabs>
                <w:tab w:val="right" w:pos="567"/>
              </w:tabs>
              <w:snapToGrid w:val="0"/>
              <w:spacing w:before="0" w:after="0"/>
              <w:ind w:firstLine="0"/>
              <w:jc w:val="center"/>
              <w:rPr>
                <w:rFonts w:ascii="Times New Roman" w:hAnsi="Times New Roman"/>
                <w:bCs/>
                <w:sz w:val="22"/>
                <w:szCs w:val="22"/>
              </w:rPr>
            </w:pPr>
            <w:r>
              <w:rPr>
                <w:rFonts w:ascii="Times New Roman" w:hAnsi="Times New Roman"/>
                <w:bCs/>
                <w:sz w:val="22"/>
                <w:szCs w:val="22"/>
              </w:rPr>
              <w:t>б) 3 - в иных случаях</w:t>
            </w:r>
          </w:p>
          <w:p>
            <w:pPr>
              <w:tabs>
                <w:tab w:val="right" w:pos="567"/>
              </w:tabs>
              <w:snapToGrid w:val="0"/>
              <w:spacing w:before="0" w:after="0"/>
              <w:ind w:firstLine="0"/>
              <w:jc w:val="center"/>
              <w:rPr>
                <w:rFonts w:ascii="Times New Roman" w:hAnsi="Times New Roman"/>
                <w:bCs/>
                <w:sz w:val="22"/>
                <w:szCs w:val="22"/>
              </w:rPr>
            </w:pPr>
            <w:r>
              <w:rPr>
                <w:rFonts w:ascii="Times New Roman" w:hAnsi="Times New Roman"/>
                <w:bCs/>
                <w:sz w:val="22"/>
                <w:szCs w:val="22"/>
              </w:rPr>
              <w:t>в) 5-в новой застройке</w:t>
            </w:r>
          </w:p>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г) при подготовке градостроительного плана в сложившейся застройке, отступы от боковых границ земельного участка обязаны обеспечивать противопожарный разрыв между капитальными строениями не менее 6 м</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а) 1 - при соблюдении требований инсоляции и освещенности в соответствии с противопожарными и санитарными требованиями</w:t>
            </w:r>
          </w:p>
          <w:p>
            <w:pPr>
              <w:tabs>
                <w:tab w:val="right" w:pos="567"/>
              </w:tabs>
              <w:snapToGrid w:val="0"/>
              <w:spacing w:before="0" w:after="0"/>
              <w:ind w:firstLine="0"/>
              <w:jc w:val="center"/>
              <w:rPr>
                <w:rFonts w:ascii="Times New Roman" w:hAnsi="Times New Roman"/>
                <w:bCs/>
                <w:sz w:val="22"/>
                <w:szCs w:val="22"/>
              </w:rPr>
            </w:pPr>
            <w:r>
              <w:rPr>
                <w:rFonts w:ascii="Times New Roman" w:hAnsi="Times New Roman"/>
                <w:bCs/>
                <w:sz w:val="22"/>
                <w:szCs w:val="22"/>
              </w:rPr>
              <w:t>б) 1 – в иных случаях</w:t>
            </w:r>
          </w:p>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в) при подготовке градостроительного плана в сложившейся застройке, отступы от боковых границ земельного участка обязаны обеспечивать противопожарный разрыв между капитальными строениями не менее 6 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708"/>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Минимальный отступ строений от задней границы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99" w:type="dxa"/>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м</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а) 3 м</w:t>
            </w:r>
          </w:p>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б) 5 – в новой застройке</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а) 3 м</w:t>
            </w:r>
          </w:p>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б) 5 – в новой застройке</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а) 1 - при соблюдении требований инсоляции и освещенности в соответствии с противопожарными и санитарными требованиями</w:t>
            </w:r>
          </w:p>
          <w:p>
            <w:pPr>
              <w:tabs>
                <w:tab w:val="right" w:pos="567"/>
              </w:tabs>
              <w:snapToGrid w:val="0"/>
              <w:spacing w:before="0" w:after="0"/>
              <w:ind w:firstLine="0"/>
              <w:jc w:val="center"/>
              <w:rPr>
                <w:rFonts w:ascii="Times New Roman" w:hAnsi="Times New Roman" w:eastAsia="Arial Unicode MS"/>
                <w:bCs/>
                <w:sz w:val="22"/>
                <w:szCs w:val="22"/>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708"/>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 xml:space="preserve">Минимальный отступ от границ соседнего земельного участка до бани, гаража и других построек </w:t>
            </w:r>
          </w:p>
        </w:tc>
        <w:tc>
          <w:tcPr>
            <w:tcW w:w="699" w:type="dxa"/>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м</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1 - при соблюдении требований инсоляции и освещенности в соответствии с противопожарными и санитарными требованиями</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1 - при соблюдении требований инсоляции и освещенности в соответствии с противопожарными и санитарными требованиями</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 xml:space="preserve">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708"/>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 xml:space="preserve">Минимальный отступ от границ соседнего земельного участка до постройки для содержания скота и птицы </w:t>
            </w:r>
          </w:p>
        </w:tc>
        <w:tc>
          <w:tcPr>
            <w:tcW w:w="699" w:type="dxa"/>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м</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4</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4</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708"/>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Предельное количество этажей или предельная высота зданий, строений, сооружений (до конька крыши)</w:t>
            </w:r>
          </w:p>
        </w:tc>
        <w:tc>
          <w:tcPr>
            <w:tcW w:w="699" w:type="dxa"/>
            <w:tcBorders>
              <w:top w:val="single" w:color="auto" w:sz="4" w:space="0"/>
              <w:left w:val="single" w:color="auto" w:sz="4" w:space="0"/>
              <w:bottom w:val="single" w:color="auto" w:sz="4" w:space="0"/>
              <w:right w:val="single" w:color="auto" w:sz="4" w:space="0"/>
            </w:tcBorders>
            <w:noWrap w:val="0"/>
            <w:vAlign w:val="top"/>
          </w:tcPr>
          <w:p>
            <w:pPr>
              <w:pBdr>
                <w:bottom w:val="single" w:color="auto" w:sz="4" w:space="1"/>
              </w:pBd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м</w:t>
            </w:r>
          </w:p>
          <w:p>
            <w:pPr>
              <w:tabs>
                <w:tab w:val="right" w:pos="493"/>
                <w:tab w:val="right" w:pos="567"/>
              </w:tabs>
              <w:snapToGrid w:val="0"/>
              <w:spacing w:before="0" w:after="0"/>
              <w:ind w:firstLine="0"/>
              <w:jc w:val="center"/>
              <w:rPr>
                <w:rFonts w:ascii="Times New Roman" w:hAnsi="Times New Roman"/>
                <w:bCs/>
                <w:sz w:val="22"/>
                <w:szCs w:val="22"/>
              </w:rPr>
            </w:pPr>
          </w:p>
          <w:p>
            <w:pPr>
              <w:tabs>
                <w:tab w:val="right" w:pos="493"/>
                <w:tab w:val="right" w:pos="567"/>
              </w:tabs>
              <w:snapToGrid w:val="0"/>
              <w:spacing w:before="0" w:after="0"/>
              <w:ind w:firstLine="0"/>
              <w:jc w:val="center"/>
              <w:rPr>
                <w:rFonts w:ascii="Times New Roman" w:hAnsi="Times New Roman"/>
                <w:bCs/>
                <w:sz w:val="22"/>
                <w:szCs w:val="22"/>
              </w:rPr>
            </w:pPr>
            <w:r>
              <w:rPr>
                <w:rFonts w:ascii="Times New Roman" w:hAnsi="Times New Roman"/>
                <w:bCs/>
                <w:sz w:val="22"/>
                <w:szCs w:val="22"/>
              </w:rPr>
              <w:t>Кол.</w:t>
            </w:r>
          </w:p>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эт.</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4" w:space="1"/>
              </w:pBd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12</w:t>
            </w:r>
          </w:p>
          <w:p>
            <w:pPr>
              <w:tabs>
                <w:tab w:val="right" w:pos="567"/>
              </w:tabs>
              <w:snapToGrid w:val="0"/>
              <w:spacing w:before="0" w:after="0"/>
              <w:ind w:firstLine="0"/>
              <w:jc w:val="center"/>
              <w:rPr>
                <w:rFonts w:ascii="Times New Roman" w:hAnsi="Times New Roman"/>
                <w:bCs/>
                <w:sz w:val="22"/>
                <w:szCs w:val="22"/>
              </w:rPr>
            </w:pPr>
          </w:p>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3</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4" w:space="1"/>
              </w:pBd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12</w:t>
            </w:r>
          </w:p>
          <w:p>
            <w:pPr>
              <w:tabs>
                <w:tab w:val="right" w:pos="567"/>
              </w:tabs>
              <w:snapToGrid w:val="0"/>
              <w:spacing w:before="0" w:after="0"/>
              <w:ind w:firstLine="0"/>
              <w:jc w:val="center"/>
              <w:rPr>
                <w:rFonts w:ascii="Times New Roman" w:hAnsi="Times New Roman"/>
                <w:bCs/>
                <w:sz w:val="22"/>
                <w:szCs w:val="22"/>
              </w:rPr>
            </w:pPr>
          </w:p>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3</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pBdr>
                <w:bottom w:val="single" w:color="auto" w:sz="4" w:space="1"/>
              </w:pBd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12</w:t>
            </w:r>
          </w:p>
          <w:p>
            <w:pPr>
              <w:tabs>
                <w:tab w:val="right" w:pos="567"/>
              </w:tabs>
              <w:snapToGrid w:val="0"/>
              <w:spacing w:before="0" w:after="0"/>
              <w:ind w:firstLine="0"/>
              <w:jc w:val="center"/>
              <w:rPr>
                <w:rFonts w:ascii="Times New Roman" w:hAnsi="Times New Roman"/>
                <w:bCs/>
                <w:sz w:val="22"/>
                <w:szCs w:val="22"/>
              </w:rPr>
            </w:pPr>
          </w:p>
          <w:p>
            <w:pPr>
              <w:tabs>
                <w:tab w:val="right" w:pos="567"/>
              </w:tabs>
              <w:snapToGrid w:val="0"/>
              <w:spacing w:before="0" w:after="0"/>
              <w:ind w:firstLine="0"/>
              <w:jc w:val="center"/>
              <w:rPr>
                <w:rFonts w:ascii="Times New Roman" w:hAnsi="Times New Roman" w:eastAsia="Arial Unicode MS"/>
                <w:bCs/>
                <w:color w:val="FF0000"/>
                <w:sz w:val="22"/>
                <w:szCs w:val="22"/>
                <w:lang w:eastAsia="en-US" w:bidi="en-US"/>
              </w:rPr>
            </w:pPr>
            <w:r>
              <w:rPr>
                <w:rFonts w:ascii="Times New Roman" w:hAnsi="Times New Roman"/>
                <w:bCs/>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708"/>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Максимальная высота стен строений</w:t>
            </w:r>
          </w:p>
        </w:tc>
        <w:tc>
          <w:tcPr>
            <w:tcW w:w="699" w:type="dxa"/>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м</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9</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9</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708"/>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Максимальная высота ограждений земельных участков от уровня земли</w:t>
            </w:r>
          </w:p>
        </w:tc>
        <w:tc>
          <w:tcPr>
            <w:tcW w:w="699" w:type="dxa"/>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м</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2,5</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2,5</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708"/>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Рекомендуемый минимальный процент озеленения в границах земельного участка</w:t>
            </w:r>
          </w:p>
        </w:tc>
        <w:tc>
          <w:tcPr>
            <w:tcW w:w="699" w:type="dxa"/>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15</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15</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708"/>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Требуемый минимальный процент озеленения в границах земельного участка</w:t>
            </w:r>
          </w:p>
        </w:tc>
        <w:tc>
          <w:tcPr>
            <w:tcW w:w="699" w:type="dxa"/>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Не требуется</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Не требуется</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708"/>
              </w:tabs>
              <w:snapToGrid w:val="0"/>
              <w:spacing w:before="0" w:after="0"/>
              <w:ind w:firstLine="0"/>
              <w:rPr>
                <w:rFonts w:ascii="Times New Roman" w:hAnsi="Times New Roman" w:eastAsia="Arial Unicode MS"/>
                <w:bCs/>
                <w:sz w:val="22"/>
                <w:szCs w:val="22"/>
                <w:lang w:eastAsia="en-US" w:bidi="en-US"/>
              </w:rPr>
            </w:pPr>
            <w:r>
              <w:rPr>
                <w:rFonts w:ascii="Times New Roman" w:hAnsi="Times New Roman"/>
                <w:bCs/>
                <w:sz w:val="22"/>
                <w:szCs w:val="22"/>
              </w:rPr>
              <w:t>Минимальный процент под парковочные места объектов, которым требуется парковочное пространство</w:t>
            </w:r>
          </w:p>
        </w:tc>
        <w:tc>
          <w:tcPr>
            <w:tcW w:w="699" w:type="dxa"/>
            <w:tcBorders>
              <w:top w:val="single" w:color="auto" w:sz="4" w:space="0"/>
              <w:left w:val="single" w:color="auto" w:sz="4" w:space="0"/>
              <w:bottom w:val="single" w:color="auto" w:sz="4" w:space="0"/>
              <w:right w:val="single" w:color="auto" w:sz="4" w:space="0"/>
            </w:tcBorders>
            <w:noWrap w:val="0"/>
            <w:vAlign w:val="top"/>
          </w:tcPr>
          <w:p>
            <w:pPr>
              <w:tabs>
                <w:tab w:val="right" w:pos="493"/>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Не требуется</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Не требуется</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ascii="Times New Roman" w:hAnsi="Times New Roman" w:eastAsia="Arial Unicode MS"/>
                <w:bCs/>
                <w:sz w:val="22"/>
                <w:szCs w:val="22"/>
                <w:lang w:eastAsia="en-US" w:bidi="en-US"/>
              </w:rPr>
            </w:pPr>
            <w:r>
              <w:rPr>
                <w:rFonts w:ascii="Times New Roman" w:hAnsi="Times New Roman"/>
                <w:bCs/>
                <w:sz w:val="22"/>
                <w:szCs w:val="22"/>
              </w:rPr>
              <w:t>30</w:t>
            </w:r>
          </w:p>
        </w:tc>
      </w:tr>
    </w:tbl>
    <w:p>
      <w:pPr>
        <w:rPr>
          <w:rFonts w:ascii="Times New Roman" w:hAnsi="Times New Roman" w:eastAsia="Arial Unicode MS"/>
          <w:bCs/>
          <w:sz w:val="26"/>
          <w:szCs w:val="26"/>
          <w:lang w:eastAsia="en-US" w:bidi="en-US"/>
        </w:rPr>
      </w:pPr>
      <w:r>
        <w:rPr>
          <w:rFonts w:ascii="Times New Roman" w:hAnsi="Times New Roman" w:eastAsia="Calibri"/>
          <w:bCs/>
          <w:sz w:val="26"/>
          <w:szCs w:val="26"/>
          <w:lang w:eastAsia="en-US"/>
        </w:rPr>
        <w:t>Установлены ограничения в использовании земельных участков (статья 27 Земельного кодекса РФ).</w:t>
      </w:r>
    </w:p>
    <w:p>
      <w:pPr>
        <w:rPr>
          <w:rFonts w:ascii="Times New Roman" w:hAnsi="Times New Roman"/>
          <w:bCs/>
          <w:sz w:val="26"/>
          <w:szCs w:val="26"/>
        </w:rPr>
      </w:pPr>
      <w:r>
        <w:rPr>
          <w:rFonts w:ascii="Times New Roman" w:hAnsi="Times New Roman"/>
          <w:bCs/>
          <w:sz w:val="26"/>
          <w:szCs w:val="26"/>
        </w:rPr>
        <w:t xml:space="preserve">Примечания к таблице </w:t>
      </w:r>
    </w:p>
    <w:p>
      <w:pPr>
        <w:rPr>
          <w:rFonts w:ascii="Times New Roman" w:hAnsi="Times New Roman"/>
          <w:bCs/>
          <w:sz w:val="26"/>
          <w:szCs w:val="26"/>
        </w:rPr>
      </w:pPr>
      <w:r>
        <w:rPr>
          <w:rFonts w:ascii="Times New Roman" w:hAnsi="Times New Roman"/>
          <w:bCs/>
          <w:sz w:val="26"/>
          <w:szCs w:val="26"/>
        </w:rPr>
        <w:t>Примечание 1.</w:t>
      </w:r>
    </w:p>
    <w:p>
      <w:pPr>
        <w:rPr>
          <w:rFonts w:ascii="Times New Roman" w:hAnsi="Times New Roman"/>
          <w:bCs/>
          <w:sz w:val="26"/>
          <w:szCs w:val="26"/>
        </w:rPr>
      </w:pPr>
      <w:r>
        <w:rPr>
          <w:rFonts w:ascii="Times New Roman" w:hAnsi="Times New Roman"/>
          <w:bCs/>
          <w:sz w:val="26"/>
          <w:szCs w:val="26"/>
        </w:rPr>
        <w:t>Формирование земельных участков посредством разделения исходного участка на несколько участков меньшего размера может быть осуществлено при том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зональных согласований (статья 40 Градостроительного кодекса РФ).</w:t>
      </w:r>
    </w:p>
    <w:p>
      <w:pPr>
        <w:rPr>
          <w:rFonts w:ascii="Times New Roman" w:hAnsi="Times New Roman"/>
          <w:bCs/>
          <w:sz w:val="26"/>
          <w:szCs w:val="26"/>
        </w:rPr>
      </w:pPr>
      <w:r>
        <w:rPr>
          <w:rFonts w:ascii="Times New Roman" w:hAnsi="Times New Roman"/>
          <w:bCs/>
          <w:sz w:val="26"/>
          <w:szCs w:val="26"/>
        </w:rPr>
        <w:t>Примечание 2.</w:t>
      </w:r>
    </w:p>
    <w:p>
      <w:pPr>
        <w:rPr>
          <w:rFonts w:ascii="Times New Roman" w:hAnsi="Times New Roman"/>
          <w:bCs/>
          <w:sz w:val="26"/>
          <w:szCs w:val="26"/>
        </w:rPr>
      </w:pPr>
      <w:r>
        <w:rPr>
          <w:rFonts w:ascii="Times New Roman" w:hAnsi="Times New Roman"/>
          <w:bCs/>
          <w:sz w:val="26"/>
          <w:szCs w:val="26"/>
        </w:rPr>
        <w:t>Предельные параметры разрешенного строительства применительно к видам (объектам) использования недвижимости нежилого характера должны соответствовать представленным в таблице показателям.</w:t>
      </w:r>
    </w:p>
    <w:p>
      <w:pPr>
        <w:rPr>
          <w:rFonts w:ascii="Times New Roman" w:hAnsi="Times New Roman"/>
          <w:bCs/>
          <w:sz w:val="26"/>
          <w:szCs w:val="26"/>
        </w:rPr>
      </w:pPr>
      <w:r>
        <w:rPr>
          <w:rFonts w:ascii="Times New Roman" w:hAnsi="Times New Roman"/>
          <w:bCs/>
          <w:sz w:val="26"/>
          <w:szCs w:val="26"/>
        </w:rPr>
        <w:t>Примечание 3.</w:t>
      </w:r>
    </w:p>
    <w:p>
      <w:pPr>
        <w:rPr>
          <w:rFonts w:ascii="Times New Roman" w:hAnsi="Times New Roman"/>
          <w:bCs/>
          <w:sz w:val="26"/>
          <w:szCs w:val="26"/>
        </w:rPr>
      </w:pPr>
      <w:r>
        <w:rPr>
          <w:rFonts w:ascii="Times New Roman" w:hAnsi="Times New Roman"/>
          <w:bCs/>
          <w:sz w:val="26"/>
          <w:szCs w:val="26"/>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pPr>
        <w:rPr>
          <w:rFonts w:ascii="Times New Roman" w:hAnsi="Times New Roman"/>
          <w:bCs/>
          <w:sz w:val="26"/>
          <w:szCs w:val="26"/>
        </w:rPr>
      </w:pPr>
      <w:r>
        <w:rPr>
          <w:rFonts w:ascii="Times New Roman" w:hAnsi="Times New Roman"/>
          <w:bCs/>
          <w:sz w:val="26"/>
          <w:szCs w:val="26"/>
        </w:rPr>
        <w:t>-имеется взаимное согласие владельцев земельных участков на указанные отклонения,</w:t>
      </w:r>
    </w:p>
    <w:p>
      <w:pPr>
        <w:rPr>
          <w:rFonts w:ascii="Times New Roman" w:hAnsi="Times New Roman"/>
          <w:bCs/>
          <w:sz w:val="26"/>
          <w:szCs w:val="26"/>
        </w:rPr>
      </w:pPr>
      <w:r>
        <w:rPr>
          <w:rFonts w:ascii="Times New Roman" w:hAnsi="Times New Roman"/>
          <w:bCs/>
          <w:sz w:val="26"/>
          <w:szCs w:val="26"/>
        </w:rPr>
        <w:t>-расстояния между основными строениями (жилыми домами) равны или превышают 6 метров, а расстояния между вспомогательными строениями (хозяйственными постройками, гаражами и проч.) равны или превышают 2 метра (допускается также блокирование вспомогательных строений по границам земельных участков, при условии устройства брандмауэрных стен).</w:t>
      </w:r>
    </w:p>
    <w:p>
      <w:pPr>
        <w:rPr>
          <w:rFonts w:ascii="Times New Roman" w:hAnsi="Times New Roman"/>
          <w:bCs/>
          <w:sz w:val="26"/>
          <w:szCs w:val="26"/>
        </w:rPr>
      </w:pPr>
      <w:r>
        <w:rPr>
          <w:rFonts w:ascii="Times New Roman" w:hAnsi="Times New Roman"/>
          <w:bCs/>
          <w:sz w:val="26"/>
          <w:szCs w:val="26"/>
        </w:rPr>
        <w:t>Примечание 4.</w:t>
      </w:r>
    </w:p>
    <w:p>
      <w:pPr>
        <w:rPr>
          <w:rFonts w:ascii="Times New Roman" w:hAnsi="Times New Roman"/>
          <w:bCs/>
          <w:sz w:val="26"/>
          <w:szCs w:val="26"/>
        </w:rPr>
      </w:pPr>
      <w:r>
        <w:rPr>
          <w:rFonts w:ascii="Times New Roman" w:hAnsi="Times New Roman"/>
          <w:bCs/>
          <w:sz w:val="26"/>
          <w:szCs w:val="26"/>
        </w:rPr>
        <w:t xml:space="preserve">Вспомогательные строения, за исключением гаражей, размещать со стороны улиц не допускается. </w:t>
      </w:r>
    </w:p>
    <w:p>
      <w:pPr>
        <w:rPr>
          <w:rFonts w:ascii="Times New Roman" w:hAnsi="Times New Roman"/>
          <w:bCs/>
          <w:sz w:val="26"/>
          <w:szCs w:val="26"/>
        </w:rPr>
      </w:pPr>
      <w:r>
        <w:rPr>
          <w:rFonts w:ascii="Times New Roman" w:hAnsi="Times New Roman"/>
          <w:bCs/>
          <w:sz w:val="26"/>
          <w:szCs w:val="26"/>
        </w:rPr>
        <w:t xml:space="preserve">Примечание 5. </w:t>
      </w:r>
    </w:p>
    <w:p>
      <w:pPr>
        <w:rPr>
          <w:rFonts w:ascii="Times New Roman" w:hAnsi="Times New Roman"/>
          <w:bCs/>
          <w:sz w:val="26"/>
          <w:szCs w:val="26"/>
        </w:rPr>
      </w:pPr>
      <w:r>
        <w:rPr>
          <w:rFonts w:ascii="Times New Roman" w:hAnsi="Times New Roman"/>
          <w:bCs/>
          <w:sz w:val="26"/>
          <w:szCs w:val="26"/>
        </w:rPr>
        <w:t>Допускаются отклонения от представленных в таблице параметров в пределах 10%.</w:t>
      </w:r>
    </w:p>
    <w:p>
      <w:pPr>
        <w:rPr>
          <w:rFonts w:ascii="Times New Roman" w:hAnsi="Times New Roman"/>
          <w:bCs/>
          <w:sz w:val="26"/>
          <w:szCs w:val="26"/>
        </w:rPr>
      </w:pPr>
      <w:r>
        <w:rPr>
          <w:rFonts w:ascii="Times New Roman" w:hAnsi="Times New Roman"/>
          <w:bCs/>
          <w:sz w:val="26"/>
          <w:szCs w:val="26"/>
        </w:rPr>
        <w:t>Примечание 6.</w:t>
      </w:r>
    </w:p>
    <w:p>
      <w:pPr>
        <w:rPr>
          <w:rFonts w:ascii="Times New Roman" w:hAnsi="Times New Roman"/>
          <w:bCs/>
          <w:sz w:val="26"/>
          <w:szCs w:val="26"/>
        </w:rPr>
      </w:pPr>
      <w:r>
        <w:rPr>
          <w:rFonts w:ascii="Times New Roman" w:hAnsi="Times New Roman"/>
          <w:bCs/>
          <w:sz w:val="26"/>
          <w:szCs w:val="26"/>
        </w:rPr>
        <w:t>Ограждение территории перед индивидуальными жилыми домами на земельных участках, предоставленных под благоустройство и (или) палисадник разрешается выполнять штакетником, ажурной сеткой и (или) иными материалами, позволяющими обеспечить обзор с любой из ограждающих сторон местности.</w:t>
      </w:r>
    </w:p>
    <w:p>
      <w:pPr>
        <w:rPr>
          <w:rFonts w:ascii="Times New Roman" w:hAnsi="Times New Roman"/>
          <w:bCs/>
          <w:sz w:val="26"/>
          <w:szCs w:val="26"/>
        </w:rPr>
      </w:pPr>
      <w:r>
        <w:rPr>
          <w:rFonts w:ascii="Times New Roman" w:hAnsi="Times New Roman"/>
          <w:bCs/>
          <w:sz w:val="26"/>
          <w:szCs w:val="26"/>
        </w:rPr>
        <w:t>Примечание 7.</w:t>
      </w:r>
    </w:p>
    <w:p>
      <w:pPr>
        <w:rPr>
          <w:rFonts w:ascii="Times New Roman" w:hAnsi="Times New Roman"/>
          <w:bCs/>
          <w:sz w:val="26"/>
          <w:szCs w:val="26"/>
        </w:rPr>
      </w:pPr>
      <w:r>
        <w:rPr>
          <w:rFonts w:ascii="Times New Roman" w:hAnsi="Times New Roman"/>
          <w:bCs/>
          <w:sz w:val="26"/>
          <w:szCs w:val="26"/>
        </w:rPr>
        <w:t>Допускается образование земельных участков, предоставляемых гражданам для целей  индивидуального жилищного строительства, ведения личного подсобного хозяйства, огородничества, садоводства, размеры которых меньше установленных предельных минимальных размеров, если образуемый земельный участок невозможно присоединить к другому земельному участку или иным способом увеличить их размеры до минимальных размеров, установленных настоящими Правилами, в следующих случаях:</w:t>
      </w:r>
    </w:p>
    <w:p>
      <w:pPr>
        <w:numPr>
          <w:ilvl w:val="0"/>
          <w:numId w:val="1"/>
        </w:numPr>
        <w:spacing w:before="0" w:after="0"/>
        <w:ind w:left="0" w:firstLine="720"/>
        <w:rPr>
          <w:rFonts w:ascii="Times New Roman" w:hAnsi="Times New Roman"/>
          <w:bCs/>
          <w:sz w:val="26"/>
          <w:szCs w:val="26"/>
        </w:rPr>
      </w:pPr>
      <w:r>
        <w:rPr>
          <w:rFonts w:ascii="Times New Roman" w:hAnsi="Times New Roman"/>
          <w:bCs/>
          <w:sz w:val="26"/>
          <w:szCs w:val="26"/>
        </w:rPr>
        <w:t>образование земельных участков  путем перераспределения земель и (или) земельных участков, находящихся в  государственной или муниципальной собственности,  и (или) земельных участков, находящихся в частной собственности;</w:t>
      </w:r>
    </w:p>
    <w:p>
      <w:pPr>
        <w:numPr>
          <w:ilvl w:val="0"/>
          <w:numId w:val="1"/>
        </w:numPr>
        <w:spacing w:before="0" w:after="0"/>
        <w:ind w:left="0" w:firstLine="720"/>
        <w:rPr>
          <w:rFonts w:ascii="Times New Roman" w:hAnsi="Times New Roman"/>
          <w:bCs/>
          <w:sz w:val="26"/>
          <w:szCs w:val="26"/>
        </w:rPr>
      </w:pPr>
      <w:r>
        <w:rPr>
          <w:rFonts w:ascii="Times New Roman" w:hAnsi="Times New Roman"/>
          <w:bCs/>
          <w:sz w:val="26"/>
          <w:szCs w:val="26"/>
        </w:rPr>
        <w:t>образование земельных участков из земель, находящихся в государственной или муниципальной собственности, в сложившейся застройке, при наличии на образуемом участке объекта капитального строительства (здания),  права на который  возникли у физического лица (заявителя) в установленном законом порядке;</w:t>
      </w:r>
    </w:p>
    <w:p>
      <w:pPr>
        <w:numPr>
          <w:ilvl w:val="0"/>
          <w:numId w:val="2"/>
        </w:numPr>
        <w:spacing w:before="0" w:after="0"/>
        <w:ind w:left="0" w:firstLine="0"/>
        <w:rPr>
          <w:rFonts w:ascii="Times New Roman" w:hAnsi="Times New Roman" w:eastAsia="Calibri"/>
          <w:bCs/>
          <w:sz w:val="26"/>
          <w:szCs w:val="26"/>
          <w:lang w:eastAsia="en-US"/>
        </w:rPr>
      </w:pPr>
      <w:r>
        <w:rPr>
          <w:rFonts w:ascii="Times New Roman" w:hAnsi="Times New Roman"/>
          <w:bCs/>
          <w:sz w:val="26"/>
          <w:szCs w:val="26"/>
        </w:rPr>
        <w:t>образование земельных участков из земель, находящихся в государственной или муниципальной собственности, подлежащих изъятию для государственных или муниципальных нужд.</w:t>
      </w:r>
    </w:p>
    <w:p>
      <w:pPr>
        <w:numPr>
          <w:ilvl w:val="0"/>
          <w:numId w:val="2"/>
        </w:numPr>
        <w:spacing w:before="0" w:after="0"/>
        <w:rPr>
          <w:rFonts w:ascii="Times New Roman" w:hAnsi="Times New Roman"/>
          <w:bCs/>
          <w:sz w:val="26"/>
          <w:szCs w:val="26"/>
        </w:rPr>
      </w:pPr>
      <w:r>
        <w:rPr>
          <w:rFonts w:ascii="Times New Roman" w:hAnsi="Times New Roman"/>
          <w:bCs/>
          <w:sz w:val="26"/>
          <w:szCs w:val="26"/>
        </w:rPr>
        <w:t>Примечание 8.</w:t>
      </w:r>
    </w:p>
    <w:p>
      <w:pPr>
        <w:numPr>
          <w:ilvl w:val="0"/>
          <w:numId w:val="2"/>
        </w:numPr>
        <w:spacing w:before="0" w:after="0"/>
        <w:ind w:left="0" w:firstLine="0"/>
        <w:rPr>
          <w:rFonts w:ascii="Times New Roman" w:hAnsi="Times New Roman" w:eastAsia="Calibri"/>
          <w:bCs/>
          <w:sz w:val="26"/>
          <w:szCs w:val="26"/>
          <w:lang w:eastAsia="en-US"/>
        </w:rPr>
      </w:pPr>
      <w:r>
        <w:rPr>
          <w:rFonts w:ascii="Times New Roman" w:hAnsi="Times New Roman"/>
          <w:bCs/>
          <w:sz w:val="26"/>
          <w:szCs w:val="26"/>
        </w:rPr>
        <w:t>Минимальный размер земельного участка для размещения отдельно стоящего гаража от жилых домов 25 кв.м. Максимальный размер земельного участка для размещения отдельно стоящего гаража от жилых домов 30 кв.м. Максимальный процент застройки не распространяется на  земельные участки для размещения гаражей. Допускается образование земельных участков, предоставляемых гражданам для размещения гаражей, размеры которых меньше установленных предельных минимальных размеров, если образуемый земельный участок невозможно присоединить к другому земельному участку или иным способом увеличить их размеры до минимальных размеров, установленных настоящими Правилами, в следующем случае: образование земельных участков из земель, находящихся в государственной или муниципальной собственности, в сложившейся застройке, при наличии на образуемом участке объекта капитального строительства (здания),  права на который возникли у физического лица (заявителя) в установленном законом порядке.</w:t>
      </w:r>
    </w:p>
    <w:p>
      <w:pPr>
        <w:ind w:firstLine="709"/>
        <w:jc w:val="both"/>
        <w:rPr>
          <w:rFonts w:hint="default" w:ascii="Times New Roman" w:hAnsi="Times New Roman" w:cs="Times New Roman"/>
          <w:sz w:val="26"/>
          <w:szCs w:val="26"/>
          <w:lang w:val="ru-RU"/>
        </w:rPr>
      </w:pPr>
    </w:p>
    <w:p>
      <w:bookmarkStart w:id="0" w:name="_GoBack"/>
      <w:bookmarkEnd w:id="0"/>
    </w:p>
    <w:sectPr>
      <w:pgSz w:w="11906" w:h="16838"/>
      <w:pgMar w:top="850" w:right="850" w:bottom="850"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abstractNum w:abstractNumId="1">
    <w:nsid w:val="76FB5235"/>
    <w:multiLevelType w:val="multilevel"/>
    <w:tmpl w:val="76FB5235"/>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81DC0"/>
    <w:rsid w:val="4EB8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uppressAutoHyphens/>
      <w:spacing w:before="280" w:after="280"/>
      <w:ind w:firstLine="709"/>
      <w:jc w:val="both"/>
    </w:pPr>
    <w:rPr>
      <w:rFonts w:ascii="Arial" w:hAnsi="Arial" w:eastAsia="Times New Roman" w:cs="Times New Roman"/>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2023-11-07T04:21:00Z</dcterms:created>
  <dc:creator>104-kab</dc:creator>
  <cp:lastModifiedBy>104-kab</cp:lastModifiedBy>
  <dcterms:modified xsi:type="dcterms:W3CDTF">2023-11-07T04:22:16Z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BABE8C95171047E3BB494D057BC6360F_11</vt:lpwstr>
  </property>
</Properties>
</file>