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D91A">
      <w:pPr>
        <w:pStyle w:val="5"/>
        <w:pageBreakBefore/>
        <w:jc w:val="center"/>
        <w:rPr>
          <w:b/>
          <w:szCs w:val="24"/>
          <w:highlight w:val="none"/>
        </w:rPr>
      </w:pPr>
      <w:bookmarkStart w:id="0" w:name="_Hlk130988967"/>
      <w:r>
        <w:rPr>
          <w:b/>
          <w:szCs w:val="24"/>
          <w:highlight w:val="none"/>
        </w:rPr>
        <w:t>ДОГОВОР № ____</w:t>
      </w:r>
    </w:p>
    <w:p w14:paraId="4457024B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5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47652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0150F25">
            <w:pPr>
              <w:pStyle w:val="6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0E70653C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______________</w:t>
            </w:r>
          </w:p>
        </w:tc>
      </w:tr>
    </w:tbl>
    <w:p w14:paraId="3581C5C9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12</w:t>
      </w:r>
      <w:r>
        <w:rPr>
          <w:szCs w:val="24"/>
          <w:highlight w:val="none"/>
        </w:rPr>
        <w:t>.0</w:t>
      </w:r>
      <w:r>
        <w:rPr>
          <w:rFonts w:hint="default"/>
          <w:szCs w:val="24"/>
          <w:highlight w:val="none"/>
          <w:lang w:val="ru-RU"/>
        </w:rPr>
        <w:t>3</w:t>
      </w:r>
      <w:r>
        <w:rPr>
          <w:szCs w:val="24"/>
          <w:highlight w:val="none"/>
        </w:rPr>
        <w:t>.202</w:t>
      </w:r>
      <w:r>
        <w:rPr>
          <w:rFonts w:hint="default"/>
          <w:szCs w:val="24"/>
          <w:highlight w:val="none"/>
          <w:lang w:val="ru-RU"/>
        </w:rPr>
        <w:t>6</w:t>
      </w:r>
      <w:r>
        <w:rPr>
          <w:szCs w:val="24"/>
          <w:highlight w:val="none"/>
        </w:rPr>
        <w:t>г. заключили настоящий договор о нижеследующем:</w:t>
      </w:r>
    </w:p>
    <w:p w14:paraId="5A1D169A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616687B2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0402044:715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1508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 w:val="0"/>
          <w:bCs w:val="0"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город Кыштым, </w:t>
      </w:r>
      <w:r>
        <w:rPr>
          <w:b/>
          <w:bCs w:val="0"/>
          <w:szCs w:val="24"/>
          <w:highlight w:val="none"/>
          <w:lang w:val="ru-RU"/>
        </w:rPr>
        <w:t>в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30 м юго-восточнее участка №24 по ул. Красной Звезды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5DBDF0E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189D07C1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1198D2DE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12</w:t>
      </w:r>
      <w:r>
        <w:rPr>
          <w:color w:val="000000"/>
          <w:szCs w:val="24"/>
          <w:highlight w:val="none"/>
        </w:rPr>
        <w:t>.</w:t>
      </w:r>
      <w:r>
        <w:rPr>
          <w:rFonts w:hint="default"/>
          <w:color w:val="000000"/>
          <w:szCs w:val="24"/>
          <w:highlight w:val="none"/>
          <w:lang w:val="ru-RU"/>
        </w:rPr>
        <w:t>03</w:t>
      </w:r>
      <w:r>
        <w:rPr>
          <w:color w:val="000000"/>
          <w:szCs w:val="24"/>
          <w:highlight w:val="none"/>
        </w:rPr>
        <w:t>.202</w:t>
      </w:r>
      <w:r>
        <w:rPr>
          <w:rFonts w:hint="default"/>
          <w:color w:val="000000"/>
          <w:szCs w:val="24"/>
          <w:highlight w:val="none"/>
          <w:lang w:val="ru-RU"/>
        </w:rPr>
        <w:t>6</w:t>
      </w:r>
      <w:r>
        <w:rPr>
          <w:bCs w:val="0"/>
          <w:color w:val="000000"/>
          <w:szCs w:val="24"/>
          <w:highlight w:val="none"/>
        </w:rPr>
        <w:t>г.</w:t>
      </w:r>
    </w:p>
    <w:p w14:paraId="236F3EE6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30.04.2025</w:t>
      </w:r>
      <w:r>
        <w:rPr>
          <w:b/>
          <w:color w:val="000000"/>
          <w:szCs w:val="24"/>
          <w:highlight w:val="none"/>
        </w:rPr>
        <w:t xml:space="preserve"> № </w:t>
      </w:r>
      <w:r>
        <w:rPr>
          <w:rFonts w:hint="default"/>
          <w:b/>
          <w:color w:val="000000"/>
          <w:szCs w:val="24"/>
          <w:highlight w:val="none"/>
          <w:lang w:val="ru-RU"/>
        </w:rPr>
        <w:t>1130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509538,12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Пятьсот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девять тысяч пятьсот тридцать восемь рублей)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12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color w:val="000000"/>
          <w:szCs w:val="24"/>
          <w:highlight w:val="none"/>
        </w:rPr>
        <w:t>коп.</w:t>
      </w:r>
    </w:p>
    <w:p w14:paraId="7E76C15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3EA7F70D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  <w:highlight w:val="none"/>
          <w:lang w:val="ru-RU"/>
        </w:rPr>
        <w:t>для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b/>
          <w:color w:val="000000"/>
          <w:szCs w:val="24"/>
          <w:highlight w:val="none"/>
        </w:rPr>
        <w:t>.</w:t>
      </w:r>
    </w:p>
    <w:p w14:paraId="584074E0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3F5EC7BF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1E565061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4869C779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56552C35">
      <w:pPr>
        <w:pStyle w:val="5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522F53E">
      <w:pPr>
        <w:pStyle w:val="5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0402044:715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620A7F1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690C0C1F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 </w:t>
      </w:r>
    </w:p>
    <w:p w14:paraId="02B8B693">
      <w:pPr>
        <w:pStyle w:val="5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0C2EF1E6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7D3319D9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0D23EB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41E60503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379DF0FF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7CE1FE70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8C5D027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561EC7CA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F037286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 ПРОДАВЕЦ обязуется:</w:t>
      </w:r>
    </w:p>
    <w:p w14:paraId="42A188A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3B72DDDE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39EA9213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697CC1B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7C00DA4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55C02AA6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участков.</w:t>
      </w:r>
    </w:p>
    <w:p w14:paraId="294F72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3-х лет с даты заключения договора купли-продажи земельного участка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уведомить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начале строительства объекта,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действующим законодательством.</w:t>
      </w:r>
    </w:p>
    <w:p w14:paraId="5DDFFCBB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2ACB3336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7F340C21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4856A005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6C068852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105F22F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148F0FCD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B5DE829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4C35DCD5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4803DDD3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7C33B2B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62585571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8050C1D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557DDE9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69C3BECA">
      <w:pPr>
        <w:pStyle w:val="5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06EB51D2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85805C7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10098AB7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29D51C49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1AA44F9E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571E06A8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20796E49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4EE3931B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2AABF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525DF94A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6CD82565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79294EAC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7851FCD1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2B2D524D">
            <w:pPr>
              <w:pStyle w:val="6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0D82401C">
            <w:pPr>
              <w:pStyle w:val="6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val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25578B32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2AD99395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7EA74B74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7AED4285">
      <w:pPr>
        <w:pStyle w:val="5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570FC004">
      <w:pPr>
        <w:pStyle w:val="5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2C662616">
      <w:pPr>
        <w:pStyle w:val="5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23FB75F1">
      <w:pPr>
        <w:pStyle w:val="5"/>
        <w:jc w:val="right"/>
        <w:rPr>
          <w:szCs w:val="24"/>
          <w:highlight w:val="none"/>
        </w:rPr>
      </w:pPr>
    </w:p>
    <w:p w14:paraId="7E8215C3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4F945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1ACF941F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1E70F789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574F975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2C70CB99">
      <w:pPr>
        <w:pStyle w:val="5"/>
        <w:numPr>
          <w:ilvl w:val="0"/>
          <w:numId w:val="1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1508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город Кыштым, </w:t>
      </w:r>
      <w:r>
        <w:rPr>
          <w:b/>
          <w:bCs w:val="0"/>
          <w:szCs w:val="24"/>
          <w:highlight w:val="none"/>
          <w:lang w:val="ru-RU"/>
        </w:rPr>
        <w:t>в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30 м юго-восточнее участка №24 по ул. Красной Звезды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0402044:715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1DDD5731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793DD429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43F7883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.</w:t>
      </w:r>
    </w:p>
    <w:p w14:paraId="4DF01F99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58198E1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2E1DE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53E5B567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1FBCC78D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7606EBF1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54A1C76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1B3FF4BD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4AC93A32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444C6DA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6967DBE5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2CA1D26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7F49D31">
      <w:pPr>
        <w:pStyle w:val="5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4AC33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20936AC6">
            <w:pPr>
              <w:pStyle w:val="6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74D26A1A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69B56ABA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6F0D8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42942AB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414E4E33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04A2E085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305597C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bookmarkEnd w:id="0"/>
    <w:p w14:paraId="78D90124">
      <w:pPr>
        <w:spacing w:after="0"/>
        <w:jc w:val="both"/>
        <w:rPr>
          <w:szCs w:val="24"/>
          <w:highlight w:val="yellow"/>
        </w:rPr>
      </w:pPr>
    </w:p>
    <w:p w14:paraId="7A14A609">
      <w:pPr>
        <w:spacing w:after="0"/>
        <w:jc w:val="both"/>
        <w:rPr>
          <w:szCs w:val="24"/>
          <w:highlight w:val="yellow"/>
        </w:rPr>
      </w:pPr>
    </w:p>
    <w:p w14:paraId="15602421">
      <w:bookmarkStart w:id="1" w:name="_GoBack"/>
      <w:bookmarkEnd w:id="1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546C1"/>
    <w:multiLevelType w:val="singleLevel"/>
    <w:tmpl w:val="1BE54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486B"/>
    <w:rsid w:val="11EF0F1B"/>
    <w:rsid w:val="147600F3"/>
    <w:rsid w:val="2A66500B"/>
    <w:rsid w:val="33FE45EB"/>
    <w:rsid w:val="366125C4"/>
    <w:rsid w:val="3D163BA9"/>
    <w:rsid w:val="3DB90640"/>
    <w:rsid w:val="48E7023B"/>
    <w:rsid w:val="49BA5865"/>
    <w:rsid w:val="5FED0633"/>
    <w:rsid w:val="67823115"/>
    <w:rsid w:val="6D6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68"/>
    <w:rPr>
      <w:rFonts w:cs="Times New Roman"/>
      <w:color w:val="0000FF"/>
      <w:u w:val="single"/>
    </w:rPr>
  </w:style>
  <w:style w:type="paragraph" w:styleId="5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6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2026-02-17T03:30:54Z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