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Выписка </w:t>
      </w:r>
      <w:r>
        <w:rPr>
          <w:rFonts w:hint="default" w:ascii="Times New Roman" w:hAnsi="Times New Roman" w:cs="Times New Roman"/>
          <w:sz w:val="26"/>
          <w:szCs w:val="26"/>
        </w:rPr>
        <w:t>из Правил землепользования и застройки Кыштымского городского округа, утвержд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ё</w:t>
      </w:r>
      <w:r>
        <w:rPr>
          <w:rFonts w:hint="default" w:ascii="Times New Roman" w:hAnsi="Times New Roman" w:cs="Times New Roman"/>
          <w:sz w:val="26"/>
          <w:szCs w:val="26"/>
        </w:rPr>
        <w:t xml:space="preserve">нных решением Собрания депутатов Кыштымского городского округа от 25.01.2007 г.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</w:t>
      </w:r>
      <w:r>
        <w:rPr>
          <w:rFonts w:hint="default" w:ascii="Times New Roman" w:hAnsi="Times New Roman" w:cs="Times New Roman"/>
          <w:sz w:val="26"/>
          <w:szCs w:val="26"/>
        </w:rPr>
        <w:t>№ 22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outlineLvl w:val="4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>П-2. Зона размещения коммунальных и складских объектов, объектов жилищно-коммунального хозяйства, объектов транспорта, объектов оптовой торговли и производственных объектов с различными нормативами воздействия на окружающую среду</w:t>
      </w:r>
    </w:p>
    <w:p>
      <w:pPr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>Основные виды разрешенного использования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-Склады</w:t>
      </w:r>
      <w:r>
        <w:rPr>
          <w:rFonts w:ascii="Times New Roman" w:hAnsi="Times New Roman"/>
          <w:bCs/>
          <w:sz w:val="26"/>
          <w:szCs w:val="26"/>
        </w:rPr>
        <w:t xml:space="preserve"> (Размещение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-Складские площадки</w:t>
      </w:r>
      <w:r>
        <w:rPr>
          <w:rFonts w:ascii="Times New Roman" w:hAnsi="Times New Roman"/>
          <w:bCs/>
          <w:sz w:val="26"/>
          <w:szCs w:val="26"/>
        </w:rPr>
        <w:t xml:space="preserve"> (Временное хранение, распределение и перевалка грузов (за исключением хранения стратегических запасов) на открытом воздухе);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Коммунальное обслуживание</w:t>
      </w:r>
      <w:r>
        <w:rPr>
          <w:rFonts w:ascii="Times New Roman" w:hAnsi="Times New Roman"/>
          <w:bCs/>
          <w:sz w:val="26"/>
          <w:szCs w:val="26"/>
        </w:rPr>
        <w:t xml:space="preserve"> (размещение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следующих видов разрешенного использования: 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снега); размещение зданий, предназначенных для приема физических и юридических лиц в связи с предоставлением им коммунальных услуг);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Автомобильный транспорт</w:t>
      </w:r>
      <w:r>
        <w:rPr>
          <w:rFonts w:ascii="Times New Roman" w:hAnsi="Times New Roman"/>
          <w:bCs/>
          <w:sz w:val="26"/>
          <w:szCs w:val="26"/>
        </w:rPr>
        <w:t xml:space="preserve"> (размещение зданий и сооружений автомобильного транспорта. Содержание данного вида разрешенного использования включает в себя содержание следующих видов разрешенного использования: размещение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автомобильных дорог за пределами населенных пунктов и технически связанных с ними сооружений, придорожных стоянок (парковок) транспортных средств в границах городских улиц и дорог, зданий и сооружений, предназначенных для обслуживания пассажиров, стоянок транспортных средств, осуществляющих перевозки людей по установленному маршруту);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Улично-дорожная сеть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 размещение придорожных стоянок (парковок) транспортных средств в границах городских улиц и дорог);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Хранение автотранспорта</w:t>
      </w:r>
      <w:r>
        <w:rPr>
          <w:rFonts w:ascii="Times New Roman" w:hAnsi="Times New Roman"/>
          <w:bCs/>
          <w:sz w:val="26"/>
          <w:szCs w:val="26"/>
        </w:rPr>
        <w:t xml:space="preserve"> (размещение отдельно стоящих и пристроенных гаражей, в том числе подземных, предназначенных для хранения автотранспорта, в том числе с разделением на машино-места);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-Объекты дорожного сервиса</w:t>
      </w:r>
      <w:r>
        <w:rPr>
          <w:rFonts w:ascii="Times New Roman" w:hAnsi="Times New Roman"/>
          <w:bCs/>
          <w:sz w:val="26"/>
          <w:szCs w:val="26"/>
        </w:rPr>
        <w:t xml:space="preserve"> (Размещение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размещение автозаправочных станций; размещение магазинов сопутствующей торговли, зданий для организации общественного питания в качестве объектов дорожного сервиса, размещение зданий для предоставления гостиничных услуг в качестве дорожного сервиса (мотелей), а также размещение магазинов сопутствующей торговли, зданий для организации общественного питания в качестве объектов дорожного сервиса, размещение автомобильных моек, а также размещение магазинов сопутствующей торговли, размещение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-Производственная деятельность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 в целях добычи полезных ископаемых, их переработки, изготовления вещей промышленным способом);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Тяжелая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 горно-обогатительной и горно-перерабатывающей, металлургической, машиностроительной промышленности, а также изготовления и ремонта продукции судостроения, авиастроения, вагоностроения, машиностроения, станкостроения, а также другие подобные промышленные предприятия, для эксплуатации которых предусматривается установление охранных или санитарно-защитных зон, за исключением случаев, когда объект промышленности отнесен к иному виду разрешенного использования);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-Автомобилестроительная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>(Размещение объектов капитального строительства, предназначенных для производства транспортных средств и оборудования, производства автомобилей, производства автомобильных кузовов, производства прицепов, полуприцепов и контейнеров, предназначенных для перевозки одним или несколькими видами транспорта, производства частей и принадлежностей автомобилей и их двигателей);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Легкая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предназначенных для текстильной, фарфоро-фаянсовой, электронной промышленности);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Пищевая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пищевой промышленности, по переработке сельскохозяйственной продукции способом, приводящим к их переработке в иную продукцию (консервирование, копчение, хлебопечение), в том числе для производства напитков, алкогольных напитков и табачных изделий);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-Нефтехимическая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предназначенных для переработки углеводородного сырья, изготовления удобрений, полимеров, химической продукции бытового назначения и подобной продукции, а также другие подобные промышленные предприятия);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Строительная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предназначенных для производства: строительных материалов (кирпичей, пиломатериалов, цемента, крепежных материалов), бытового и строительного газового и сантехнического оборудования, лифтов и подъемников, столярной продукции, сборных домов или их частей и тому подобной продукции);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Предпринимательство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 в целях извлечения прибыли на основании торговой, банковской и иной предпринимательской деятельности);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Энергетика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гидроэнергетики, тепловых станций и других электростанций, размещение обслуживающих и вспомогательных для электростанций сооружений (золоотвалов, гидротехнических сооружений); размещение объектов электросетевого хозяйства, за исключением объектов энергетики, размещение которых предусмотрено содержанием вида разрешенного использования Коммунальное обслуживание);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Связь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связи, радиовещания, телевидения, включая воздушные радиорелейные, надземные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Целлюлозно-бумажная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предназначенных для целлюлозно-бумажного производства, производства целлюлозы, древесной массы, бумаги, картона и изделий из них, издательской и полиграфической деятельности, тиражирования записанных носителей информации);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Научно-производственная деятельность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технологических, промышленных, агропромышленных парков, бизнес-инкубаторов);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Железнодорожный транспорт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 железнодорожного транспорта. Содержание данного вида разрешенного использования включает в себя содержание видов разрешенного использования Размещение железнодорожных путей, Размещение зданий и сооружений, в том числе железнодорожных вокзалов и станций, а также устройств и объектов, необходимых для эксплуатации, содержания, строительства, реконструкции, ремонта наземных и подземных зданий, сооружений, устройств и других объектов железнодорожного транспорта; размещение погрузочно-разгрузочных площадок, прирельсовых складов (за исключением складов горюче-смазочных материалов и автозаправочных станций любых типов, а также складов, предназначенных для хранения опасных веществ и материалов, не предназначенных непосредственно для обеспечения железнодорожных перевозок) и иных объектов при условии соблюдения требований безопасности движения, установленных федеральными законами);</w:t>
      </w:r>
    </w:p>
    <w:p>
      <w:pPr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 xml:space="preserve">- </w:t>
      </w:r>
      <w:r>
        <w:rPr>
          <w:rFonts w:ascii="Times New Roman" w:hAnsi="Times New Roman" w:eastAsia="Calibri"/>
          <w:bCs/>
          <w:sz w:val="26"/>
          <w:szCs w:val="26"/>
          <w:u w:val="single"/>
        </w:rPr>
        <w:t>Овощеводство</w:t>
      </w:r>
      <w:r>
        <w:rPr>
          <w:rFonts w:ascii="Times New Roman" w:hAnsi="Times New Roman" w:eastAsia="Calibri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sz w:val="26"/>
          <w:szCs w:val="26"/>
        </w:rPr>
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</w:r>
      <w:r>
        <w:rPr>
          <w:rFonts w:ascii="Times New Roman" w:hAnsi="Times New Roman" w:eastAsia="Calibri"/>
          <w:bCs/>
          <w:sz w:val="26"/>
          <w:szCs w:val="26"/>
        </w:rPr>
        <w:t>);</w:t>
      </w:r>
    </w:p>
    <w:p>
      <w:pPr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Cs/>
          <w:sz w:val="26"/>
          <w:szCs w:val="26"/>
          <w:u w:val="single"/>
        </w:rPr>
        <w:t>- Научное обеспечение сельского хозяйства</w:t>
      </w:r>
      <w:r>
        <w:rPr>
          <w:rFonts w:ascii="Times New Roman" w:hAnsi="Times New Roman" w:eastAsia="Calibri"/>
          <w:bCs/>
          <w:sz w:val="26"/>
          <w:szCs w:val="26"/>
        </w:rPr>
        <w:t xml:space="preserve"> (осуществление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 размещение коллекций генетических ресурсов растений);</w:t>
      </w:r>
    </w:p>
    <w:p>
      <w:pPr>
        <w:keepNext/>
        <w:keepLines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Cs/>
          <w:sz w:val="26"/>
          <w:szCs w:val="26"/>
          <w:u w:val="single"/>
        </w:rPr>
        <w:t>- Хранение и переработка сельскохозяйственной продукции</w:t>
      </w:r>
      <w:r>
        <w:rPr>
          <w:rFonts w:ascii="Times New Roman" w:hAnsi="Times New Roman" w:eastAsia="Calibri"/>
          <w:bCs/>
          <w:sz w:val="26"/>
          <w:szCs w:val="26"/>
        </w:rPr>
        <w:t xml:space="preserve"> (размещение зданий, сооружений, используемых для производства, хранения, первичной и глубокой переработки сельскохозяйственной продукции;</w:t>
      </w:r>
    </w:p>
    <w:p>
      <w:pPr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Cs/>
          <w:sz w:val="26"/>
          <w:szCs w:val="26"/>
          <w:u w:val="single"/>
        </w:rPr>
        <w:t>- Питомники</w:t>
      </w:r>
      <w:r>
        <w:rPr>
          <w:rFonts w:ascii="Times New Roman" w:hAnsi="Times New Roman" w:eastAsia="Calibri"/>
          <w:bCs/>
          <w:sz w:val="26"/>
          <w:szCs w:val="26"/>
        </w:rPr>
        <w:t xml:space="preserve"> (выращивание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 размещение сооружений, необходимых для указанных видов сельскохозяйственного производства);</w:t>
      </w:r>
    </w:p>
    <w:p>
      <w:pPr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Cs/>
          <w:sz w:val="26"/>
          <w:szCs w:val="26"/>
          <w:u w:val="single"/>
        </w:rPr>
        <w:t>- Обеспечение сельскохозяйственного производства</w:t>
      </w:r>
      <w:r>
        <w:rPr>
          <w:rFonts w:ascii="Times New Roman" w:hAnsi="Times New Roman" w:eastAsia="Calibri"/>
          <w:bCs/>
          <w:sz w:val="26"/>
          <w:szCs w:val="26"/>
        </w:rPr>
        <w:t xml:space="preserve"> (размещение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оборудования, используемого для ведения сельского хозяйства);</w:t>
      </w:r>
    </w:p>
    <w:p>
      <w:pPr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Calibri"/>
          <w:bCs/>
          <w:sz w:val="26"/>
          <w:szCs w:val="26"/>
          <w:u w:val="single"/>
        </w:rPr>
        <w:t>- Заготовка древесины</w:t>
      </w:r>
      <w:r>
        <w:rPr>
          <w:rFonts w:ascii="Times New Roman" w:hAnsi="Times New Roman" w:eastAsia="Calibri"/>
          <w:bCs/>
          <w:sz w:val="26"/>
          <w:szCs w:val="26"/>
        </w:rPr>
        <w:t xml:space="preserve"> (</w:t>
      </w:r>
      <w:r>
        <w:rPr>
          <w:rFonts w:ascii="Times New Roman" w:hAnsi="Times New Roman"/>
          <w:bCs/>
          <w:sz w:val="26"/>
          <w:szCs w:val="26"/>
        </w:rPr>
        <w:t>Рубка лесных насаждений, выросших в природных условиях, в том числе гражданами для собственных нужд, частичная переработка, хранение и вывоз древесины, создание лесных дорог, размещение сооружений, необходимых для обработки и хранения древесины (лесных складов, лесопилен), охрана и восстановление лесов</w:t>
      </w:r>
      <w:r>
        <w:rPr>
          <w:rFonts w:ascii="Times New Roman" w:hAnsi="Times New Roman" w:eastAsia="Calibri"/>
          <w:bCs/>
          <w:sz w:val="26"/>
          <w:szCs w:val="26"/>
        </w:rPr>
        <w:t>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Бытовое обслуживание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Ритуальная деятельность</w:t>
      </w:r>
      <w:r>
        <w:rPr>
          <w:rFonts w:ascii="Times New Roman" w:hAnsi="Times New Roman"/>
          <w:bCs/>
          <w:sz w:val="26"/>
          <w:szCs w:val="26"/>
        </w:rPr>
        <w:t xml:space="preserve"> (осуществление деятельности по производству продукции ритуально-обрядового назначения);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- Размещение гаражей для собственных нужд </w:t>
      </w:r>
      <w:r>
        <w:rPr>
          <w:rFonts w:ascii="Times New Roman" w:hAnsi="Times New Roman"/>
          <w:sz w:val="28"/>
          <w:szCs w:val="28"/>
        </w:rPr>
        <w:t>(Размещение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коммуникации).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</w:t>
      </w:r>
      <w:r>
        <w:rPr>
          <w:rFonts w:ascii="Times New Roman" w:hAnsi="Times New Roman"/>
          <w:bCs/>
          <w:sz w:val="26"/>
          <w:szCs w:val="26"/>
          <w:u w:val="single"/>
        </w:rPr>
        <w:t>Условно разрешенные виды использования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Деловое управление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 с целью: размещения объектов управленческой деятельности, не связанной с государственным или муниципальным управлением и оказанием услуг, а также с целью обеспечения совершения сделок, не требующих передачи товара в момент их совершения между организациями, в том числе биржевая деятельность (за исключением банковской и страховой деятельности);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Недропользование</w:t>
      </w:r>
      <w:r>
        <w:rPr>
          <w:rFonts w:ascii="Times New Roman" w:hAnsi="Times New Roman"/>
          <w:bCs/>
          <w:sz w:val="26"/>
          <w:szCs w:val="26"/>
        </w:rPr>
        <w:t xml:space="preserve"> (Осуществление геологических изысканий; добыча полезных ископаемых открытым (карьеры, отвалы) и закрытым (шахты, скважины) способами; размещение объектов капитального строительства, в том числе подземных, в целях добычи полезных ископаемых; размещение объектов капитального строительства, необходимых для подготовки сырья к транспортировке и (или) промышленной переработке; размещение объектов капитального строительства, предназначенных для проживания в них сотрудников, осуществляющих обслуживание зданий и сооружений, необходимых для целей недропользования, если добыча полезных ископаемых происходит на межселенной территории);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Фармацевтическая промышленность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предназначенных для фармацевтического производства, в том числе объектов, в отношении которых предусматривается установление охранных или санитарно-защитных зон);</w:t>
      </w:r>
    </w:p>
    <w:p>
      <w:pPr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Ведение огородничества</w:t>
      </w:r>
      <w:r>
        <w:rPr>
          <w:rFonts w:ascii="Times New Roman" w:hAnsi="Times New Roman"/>
          <w:bCs/>
          <w:sz w:val="26"/>
          <w:szCs w:val="26"/>
        </w:rPr>
        <w:t xml:space="preserve"> (Осуществление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>
        <w:rPr>
          <w:rFonts w:ascii="Times New Roman" w:hAnsi="Times New Roman"/>
          <w:bCs/>
          <w:sz w:val="26"/>
          <w:szCs w:val="26"/>
          <w:u w:val="single"/>
        </w:rPr>
        <w:t>Общественное питание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 в целях устройства мест общественного питания (рестораны, кафе, столовые, закусочные, бары).</w:t>
      </w:r>
    </w:p>
    <w:p>
      <w:pPr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  <w:u w:val="single"/>
        </w:rPr>
        <w:t>Вспомогательные виды разрешенного использования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Земельные участки (территории) общего пользования</w:t>
      </w:r>
      <w:r>
        <w:rPr>
          <w:rFonts w:ascii="Times New Roman" w:hAnsi="Times New Roman"/>
          <w:bCs/>
          <w:sz w:val="26"/>
          <w:szCs w:val="26"/>
        </w:rPr>
        <w:t xml:space="preserve"> (земельные участки общего пользования. Содержание данного вида разрешенного использования включает в себя содержание следующих видов разрешенного использования: 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велотранспортной и инженерной инфраструктуры; размещение придорожных стоянок (парковок) транспортных средств в границах городских улиц и дорог, 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Обеспечение деятельности в области гидрометеорологии и смежных с ней областях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-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Благоустройство территории</w:t>
      </w:r>
      <w:r>
        <w:rPr>
          <w:rFonts w:ascii="Times New Roman" w:hAnsi="Times New Roman"/>
          <w:bCs/>
          <w:sz w:val="26"/>
          <w:szCs w:val="26"/>
        </w:rPr>
        <w:t xml:space="preserve"> (Размещение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Обеспечение внутреннего правопорядка</w:t>
      </w:r>
      <w:r>
        <w:rPr>
          <w:rFonts w:ascii="Times New Roman" w:hAnsi="Times New Roman"/>
          <w:bCs/>
          <w:sz w:val="26"/>
          <w:szCs w:val="26"/>
        </w:rPr>
        <w:t xml:space="preserve"> (размещение объектов капитального строительства, необходимых для подготовки и поддержания в готовности органов внутренних дел, Росгвардии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Трубопроводный транспорт</w:t>
      </w:r>
      <w:r>
        <w:rPr>
          <w:rFonts w:ascii="Times New Roman" w:hAnsi="Times New Roman"/>
          <w:bCs/>
          <w:sz w:val="26"/>
          <w:szCs w:val="26"/>
        </w:rPr>
        <w:t xml:space="preserve"> (размещение нефтепроводов, водопроводов, газопроводов и иных трубопроводов, а также иных зданий и сооружений, необходимых для эксплуатации названных трубопроводов);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Спорт</w:t>
      </w:r>
      <w:r>
        <w:rPr>
          <w:rFonts w:ascii="Times New Roman" w:hAnsi="Times New Roman"/>
          <w:bCs/>
          <w:sz w:val="26"/>
          <w:szCs w:val="26"/>
        </w:rPr>
        <w:t xml:space="preserve"> (размещение зданий и сооружений для занятия спортом. Содержание данного вида разрешенного использования включает в себя содержание следующих видов разрешенного использования: размещение спортивно-зрелищных зданий и сооружений, имеющих специальные места для зрителей от 500 мест (стадионов, дворцов спорта, ледовых дворцов, ипподромов), спортивных клубов, спортивных залов, бассейнов, физкультурно-оздоровительных комплексов в зданиях и сооружениях, площадок для занятия спортом и физкультурой на открытом воздухе (физкультурные площадки, беговые дорожки, поля для спортивной игры), сооружений для занятия спортом и физкультурой на открытом воздухе (теннисные корты, автодромы, мотодромы, трамплины, спортивные стрельбища),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инвентаря), спортивных сооружений для занятия авиационными видами спорта (ангары, взлетно-посадочные площадки и иные сооружения, необходимые для организации авиационных видов спорта и хранения соответствующего инвентаря), спортивных баз и лагерей, в которых осуществляется спортивная подготовка длительно проживающих в них лиц);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Отдых (рекреация)</w:t>
      </w:r>
      <w:r>
        <w:rPr>
          <w:rFonts w:ascii="Times New Roman" w:hAnsi="Times New Roman"/>
          <w:bCs/>
          <w:sz w:val="26"/>
          <w:szCs w:val="26"/>
        </w:rPr>
        <w:t xml:space="preserve"> (обустройство мест для занятия спортом, физической культурой, пешими или верховыми прогулками, отдыха и туризма, наблюдения за природой, пикников, охоты, рыбалки и иной деятельности; создание и уход за городскими лесами, скверами, прудами, озерами, водохранилищами, пляжами, а также обустройство мест отдыха в них. Содержание данного вида разрешенного использования включает в себя содержание видов разрешенного использования: размещение зданий и сооружений для занятия спортом, баз и палаточных лагерей для проведения походов и экскурсий по ознакомлению с природой, пеших и конных прогулок, устройство троп и дорожек, размещение щитов с познавательными сведениями об окружающей природной среде; осуществление необходимых природоохранных и природовосстановительных мероприятий, обустройство мест охоты и рыбалки, в том числе размещение дома охотника или рыболова, сооружений, необходимых для восстановления и поддержания поголовья зверей или количества рыбы, размещение сооружений, предназначенных для причаливания, хранения и обслуживания яхт, катеров, лодок и других маломерных судов, обустройство мест для игры в гольф или осуществления конных прогулок, в том числе осуществление необходимых земляных работ и размещения вспомогательных сооружений; размещение конноспортивных манежей, не предусматривающих устройство трибун);</w:t>
      </w:r>
    </w:p>
    <w:p>
      <w:pPr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Водные объекты</w:t>
      </w:r>
      <w:r>
        <w:rPr>
          <w:rFonts w:ascii="Times New Roman" w:hAnsi="Times New Roman"/>
          <w:bCs/>
          <w:sz w:val="26"/>
          <w:szCs w:val="26"/>
        </w:rPr>
        <w:t xml:space="preserve"> (ледники, снежники, ручьи, реки, озера, болота, территориальные моря и другие поверхностные водные объекты);</w:t>
      </w:r>
    </w:p>
    <w:p>
      <w:pPr>
        <w:keepNext/>
        <w:keepLines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u w:val="single"/>
        </w:rPr>
        <w:t>- Общее пользование водными объектами</w:t>
      </w:r>
      <w:r>
        <w:rPr>
          <w:rFonts w:ascii="Times New Roman" w:hAnsi="Times New Roman"/>
          <w:bCs/>
          <w:sz w:val="26"/>
          <w:szCs w:val="26"/>
        </w:rPr>
        <w:t xml:space="preserve"> (использование земельных участков, примыкающих к водным объектам способами, необходимыми для осуществления общего водопользования (водопользования, осуществляемого гражданами для личных нужд, а также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если соответствующие запреты не установлены законодательством).</w:t>
      </w:r>
    </w:p>
    <w:p>
      <w:pPr>
        <w:tabs>
          <w:tab w:val="left" w:pos="0"/>
        </w:tabs>
        <w:rPr>
          <w:rFonts w:ascii="Times New Roman" w:hAnsi="Times New Roman" w:eastAsia="Calibri"/>
          <w:bCs/>
          <w:sz w:val="26"/>
          <w:szCs w:val="26"/>
          <w:lang w:eastAsia="en-US"/>
        </w:rPr>
      </w:pPr>
      <w:r>
        <w:rPr>
          <w:rFonts w:ascii="Times New Roman" w:hAnsi="Times New Roman" w:eastAsia="Calibri"/>
          <w:bCs/>
          <w:sz w:val="26"/>
          <w:szCs w:val="26"/>
          <w:lang w:eastAsia="en-US"/>
        </w:rPr>
        <w:t>*Примечание</w:t>
      </w:r>
    </w:p>
    <w:p>
      <w:pPr>
        <w:tabs>
          <w:tab w:val="left" w:pos="0"/>
        </w:tabs>
        <w:rPr>
          <w:rFonts w:ascii="Times New Roman" w:hAnsi="Times New Roman" w:eastAsia="Calibri"/>
          <w:bCs/>
          <w:sz w:val="26"/>
          <w:szCs w:val="26"/>
          <w:lang w:eastAsia="en-US"/>
        </w:rPr>
      </w:pPr>
      <w:r>
        <w:rPr>
          <w:rFonts w:ascii="Times New Roman" w:hAnsi="Times New Roman" w:eastAsia="Calibri"/>
          <w:bCs/>
          <w:sz w:val="26"/>
          <w:szCs w:val="26"/>
          <w:lang w:eastAsia="en-US"/>
        </w:rPr>
        <w:t>Вспомогательные виды разрешенного использования,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ними.</w:t>
      </w:r>
    </w:p>
    <w:p>
      <w:pPr>
        <w:tabs>
          <w:tab w:val="left" w:pos="0"/>
        </w:tabs>
        <w:spacing w:before="0" w:after="0"/>
        <w:rPr>
          <w:rFonts w:ascii="Times New Roman" w:hAnsi="Times New Roman"/>
          <w:bCs/>
          <w:snapToGrid w:val="0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 xml:space="preserve">Предельные параметры земельных участков и предельные параметры разрешенного строительства, реконструкции объектов капитального строительства </w:t>
      </w:r>
    </w:p>
    <w:p>
      <w:pPr>
        <w:tabs>
          <w:tab w:val="left" w:pos="0"/>
        </w:tabs>
        <w:spacing w:before="0" w:after="0"/>
        <w:rPr>
          <w:rFonts w:ascii="Times New Roman" w:hAnsi="Times New Roman"/>
          <w:bCs/>
          <w:snapToGrid w:val="0"/>
          <w:sz w:val="26"/>
          <w:szCs w:val="26"/>
        </w:rPr>
      </w:pPr>
    </w:p>
    <w:tbl>
      <w:tblPr>
        <w:tblStyle w:val="6"/>
        <w:tblW w:w="993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4"/>
        <w:gridCol w:w="142"/>
        <w:gridCol w:w="852"/>
        <w:gridCol w:w="4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Виды параметров и единицы измерения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10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Нежилые объекты капитального строительства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Предельные (минимальные и (или) максимальные размеры земельных участков и предельные параметры, в том числе их площадь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-2943"/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Минимальный размер земельного участка (для вновь образуемых земельных участков)</w:t>
            </w:r>
          </w:p>
          <w:p>
            <w:pPr>
              <w:tabs>
                <w:tab w:val="right" w:pos="-2943"/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0"/>
                <w:tab w:val="right" w:pos="567"/>
              </w:tabs>
              <w:snapToGrid w:val="0"/>
              <w:spacing w:before="0" w:after="0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кв.м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4" w:space="1"/>
              </w:pBd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30 кв.м. гараж используемый для хранения легкового автомобиля (не для  коммерческого использования)</w:t>
            </w: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50 кв.м. гаража используемый для хранения грузового автомобиля</w:t>
            </w: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хранения транспортного средства (не для  коммерческого использования)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-2943"/>
                <w:tab w:val="right" w:pos="567"/>
              </w:tabs>
              <w:snapToGrid w:val="0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Максимальный размер земельного участка (для вновь образуемых земельных участков)</w:t>
            </w: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napToGrid w:val="0"/>
              <w:spacing w:before="0" w:after="0"/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кв.м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50 кв.м. гараж, используемый для собственных нужд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 в пределах участков</w:t>
            </w:r>
          </w:p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Максимальный процент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</w:t>
            </w:r>
          </w:p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4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Минимальный отступ от передней границы земельного участка в целях определения места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а) в соответствии со сложившейся линией застройки</w:t>
            </w: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б) 5</w:t>
            </w:r>
            <w:r>
              <w:rPr>
                <w:rFonts w:ascii="Times New Roman" w:hAnsi="Times New Roman"/>
                <w:bCs/>
                <w:sz w:val="22"/>
                <w:szCs w:val="22"/>
                <w:lang w:val="en-US"/>
              </w:rPr>
              <w:t xml:space="preserve"> –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в иных случаях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Минимальные отступы строений от боковых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pacing w:before="0" w:after="0"/>
              <w:jc w:val="center"/>
              <w:rPr>
                <w:rFonts w:ascii="Times New Roman" w:hAnsi="Times New Roman" w:eastAsia="Arial"/>
                <w:bCs/>
                <w:sz w:val="22"/>
                <w:szCs w:val="22"/>
              </w:rPr>
            </w:pPr>
            <w:r>
              <w:rPr>
                <w:rFonts w:ascii="Times New Roman" w:hAnsi="Times New Roman" w:eastAsia="Arial"/>
                <w:bCs/>
                <w:sz w:val="22"/>
                <w:szCs w:val="22"/>
              </w:rPr>
              <w:t>а) 1</w:t>
            </w: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Arial"/>
                <w:bCs/>
                <w:sz w:val="22"/>
                <w:szCs w:val="22"/>
              </w:rPr>
              <w:t>б) 5 – в иных случаях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Минимальный отступ строений от задней границы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м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pacing w:before="0" w:after="0"/>
              <w:jc w:val="center"/>
              <w:rPr>
                <w:rFonts w:ascii="Times New Roman" w:hAnsi="Times New Roman" w:eastAsia="Arial"/>
                <w:bCs/>
                <w:sz w:val="22"/>
                <w:szCs w:val="22"/>
              </w:rPr>
            </w:pPr>
            <w:r>
              <w:rPr>
                <w:rFonts w:ascii="Times New Roman" w:hAnsi="Times New Roman" w:eastAsia="Arial"/>
                <w:bCs/>
                <w:sz w:val="22"/>
                <w:szCs w:val="22"/>
              </w:rPr>
              <w:t>а) 1</w:t>
            </w: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Arial"/>
                <w:bCs/>
                <w:sz w:val="22"/>
                <w:szCs w:val="22"/>
              </w:rPr>
              <w:t>б) 5 – в иных случаях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Рекомендуемый минимальный процент озеленения в границах земельного участка</w:t>
            </w:r>
          </w:p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708"/>
              </w:tabs>
              <w:spacing w:before="0" w:after="0"/>
              <w:rPr>
                <w:rFonts w:ascii="Times New Roman" w:hAnsi="Times New Roman" w:eastAsia="Arial"/>
                <w:bCs/>
                <w:sz w:val="22"/>
                <w:szCs w:val="22"/>
              </w:rPr>
            </w:pPr>
            <w:r>
              <w:rPr>
                <w:rFonts w:ascii="Times New Roman" w:hAnsi="Times New Roman" w:eastAsia="Arial"/>
                <w:bCs/>
                <w:sz w:val="22"/>
                <w:szCs w:val="22"/>
              </w:rPr>
              <w:t>Минимальный процент под парковочные места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right" w:pos="493"/>
                <w:tab w:val="right" w:pos="567"/>
              </w:tabs>
              <w:spacing w:before="0" w:after="0"/>
              <w:jc w:val="center"/>
              <w:rPr>
                <w:rFonts w:ascii="Times New Roman" w:hAnsi="Times New Roman" w:eastAsia="Arial"/>
                <w:bCs/>
                <w:sz w:val="22"/>
                <w:szCs w:val="22"/>
              </w:rPr>
            </w:pPr>
            <w:r>
              <w:rPr>
                <w:rFonts w:ascii="Times New Roman" w:hAnsi="Times New Roman" w:eastAsia="Arial"/>
                <w:bCs/>
                <w:sz w:val="22"/>
                <w:szCs w:val="22"/>
              </w:rPr>
              <w:t>%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right" w:pos="567"/>
              </w:tabs>
              <w:spacing w:before="0" w:after="0"/>
              <w:jc w:val="center"/>
              <w:rPr>
                <w:rFonts w:ascii="Times New Roman" w:hAnsi="Times New Roman" w:eastAsia="Arial"/>
                <w:bCs/>
                <w:sz w:val="22"/>
                <w:szCs w:val="22"/>
              </w:rPr>
            </w:pPr>
            <w:r>
              <w:rPr>
                <w:rFonts w:ascii="Times New Roman" w:hAnsi="Times New Roman" w:eastAsia="Arial"/>
                <w:bCs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4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Предельное количество этажей или предельная высота зданий, строений, сооружений</w:t>
            </w:r>
          </w:p>
          <w:p>
            <w:pPr>
              <w:tabs>
                <w:tab w:val="left" w:pos="708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(до конька крыши)</w:t>
            </w: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Bdr>
                <w:bottom w:val="single" w:color="auto" w:sz="4" w:space="1"/>
              </w:pBdr>
              <w:tabs>
                <w:tab w:val="right" w:pos="-200"/>
                <w:tab w:val="right" w:pos="0"/>
              </w:tabs>
              <w:snapToGrid w:val="0"/>
              <w:spacing w:before="0" w:after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Кол.</w:t>
            </w:r>
          </w:p>
          <w:p>
            <w:pPr>
              <w:tabs>
                <w:tab w:val="right" w:pos="493"/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эт.</w:t>
            </w:r>
          </w:p>
        </w:tc>
        <w:tc>
          <w:tcPr>
            <w:tcW w:w="4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Bdr>
                <w:bottom w:val="single" w:color="auto" w:sz="4" w:space="1"/>
              </w:pBd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 (для гаража)</w:t>
            </w: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tabs>
                <w:tab w:val="right" w:pos="567"/>
              </w:tabs>
              <w:snapToGrid w:val="0"/>
              <w:spacing w:before="0" w:after="0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1 (для гаража)</w:t>
            </w:r>
          </w:p>
        </w:tc>
      </w:tr>
    </w:tbl>
    <w:p>
      <w:pPr>
        <w:numPr>
          <w:ilvl w:val="0"/>
          <w:numId w:val="3"/>
        </w:numPr>
        <w:tabs>
          <w:tab w:val="left" w:pos="432"/>
        </w:tabs>
        <w:spacing w:before="0" w:after="0"/>
        <w:ind w:left="0" w:firstLine="0"/>
        <w:rPr>
          <w:rFonts w:ascii="Times New Roman" w:hAnsi="Times New Roman" w:eastAsia="Calibri"/>
          <w:bCs/>
          <w:sz w:val="26"/>
          <w:szCs w:val="26"/>
          <w:lang w:eastAsia="en-US"/>
        </w:rPr>
      </w:pPr>
      <w:r>
        <w:rPr>
          <w:rFonts w:ascii="Times New Roman" w:hAnsi="Times New Roman" w:eastAsia="Calibri"/>
          <w:bCs/>
          <w:sz w:val="26"/>
          <w:szCs w:val="26"/>
          <w:lang w:eastAsia="en-US"/>
        </w:rPr>
        <w:t>Установлены ограничения в использовании земельных участков (статья 27 Земельного кодекса РФ).</w:t>
      </w:r>
    </w:p>
    <w:p>
      <w:pPr>
        <w:ind w:firstLine="426"/>
        <w:rPr>
          <w:rFonts w:ascii="Times New Roman" w:hAnsi="Times New Roman" w:eastAsia="Arial"/>
          <w:bCs/>
          <w:sz w:val="26"/>
          <w:szCs w:val="26"/>
        </w:rPr>
      </w:pPr>
      <w:r>
        <w:rPr>
          <w:rFonts w:ascii="Times New Roman" w:hAnsi="Times New Roman" w:eastAsia="Arial"/>
          <w:bCs/>
          <w:sz w:val="26"/>
          <w:szCs w:val="26"/>
        </w:rPr>
        <w:t xml:space="preserve">Примечания к таблице </w:t>
      </w:r>
    </w:p>
    <w:p>
      <w:pPr>
        <w:ind w:firstLine="426"/>
        <w:rPr>
          <w:rFonts w:ascii="Times New Roman" w:hAnsi="Times New Roman" w:eastAsia="Arial"/>
          <w:bCs/>
          <w:sz w:val="26"/>
          <w:szCs w:val="26"/>
        </w:rPr>
      </w:pPr>
      <w:r>
        <w:rPr>
          <w:rFonts w:ascii="Times New Roman" w:hAnsi="Times New Roman" w:eastAsia="Arial"/>
          <w:bCs/>
          <w:sz w:val="26"/>
          <w:szCs w:val="26"/>
        </w:rPr>
        <w:t>Примечание 1.</w:t>
      </w:r>
    </w:p>
    <w:p>
      <w:pPr>
        <w:numPr>
          <w:ilvl w:val="0"/>
          <w:numId w:val="3"/>
        </w:numPr>
        <w:tabs>
          <w:tab w:val="left" w:pos="432"/>
          <w:tab w:val="right" w:pos="567"/>
        </w:tabs>
        <w:spacing w:before="0" w:after="0"/>
        <w:ind w:left="0" w:firstLine="426"/>
        <w:rPr>
          <w:rFonts w:ascii="Times New Roman" w:hAnsi="Times New Roman" w:eastAsia="Arial"/>
          <w:bCs/>
          <w:sz w:val="26"/>
          <w:szCs w:val="26"/>
          <w:lang w:eastAsia="en-US"/>
        </w:rPr>
      </w:pPr>
      <w:r>
        <w:rPr>
          <w:rFonts w:ascii="Times New Roman" w:hAnsi="Times New Roman" w:eastAsia="Arial"/>
          <w:bCs/>
          <w:sz w:val="26"/>
          <w:szCs w:val="26"/>
          <w:lang w:eastAsia="en-US"/>
        </w:rPr>
        <w:t>Допускаются отклонения от представленных в таблице параметров в пределах 10%.</w:t>
      </w:r>
    </w:p>
    <w:p>
      <w:pPr>
        <w:ind w:firstLine="426"/>
        <w:rPr>
          <w:rFonts w:ascii="Times New Roman" w:hAnsi="Times New Roman" w:eastAsia="Arial"/>
          <w:bCs/>
          <w:sz w:val="26"/>
          <w:szCs w:val="26"/>
        </w:rPr>
      </w:pPr>
      <w:r>
        <w:rPr>
          <w:rFonts w:ascii="Times New Roman" w:hAnsi="Times New Roman" w:eastAsia="Arial"/>
          <w:bCs/>
          <w:sz w:val="26"/>
          <w:szCs w:val="26"/>
        </w:rPr>
        <w:t>Примечание 2.</w:t>
      </w:r>
    </w:p>
    <w:p>
      <w:pPr>
        <w:numPr>
          <w:ilvl w:val="0"/>
          <w:numId w:val="3"/>
        </w:numPr>
        <w:tabs>
          <w:tab w:val="left" w:pos="432"/>
        </w:tabs>
        <w:spacing w:before="0" w:after="0"/>
        <w:ind w:left="0" w:firstLine="426"/>
        <w:outlineLvl w:val="4"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>
        <w:rPr>
          <w:rFonts w:ascii="Times New Roman" w:hAnsi="Times New Roman" w:eastAsia="Arial"/>
          <w:bCs/>
          <w:sz w:val="26"/>
          <w:szCs w:val="26"/>
          <w:lang w:eastAsia="en-US"/>
        </w:rPr>
        <w:t xml:space="preserve">становление максимальных размеров земельных участков, в том числе их  площади, в отношении данной зоны не требуется, за исключением  земельных участков под </w:t>
      </w:r>
      <w:r>
        <w:rPr>
          <w:rFonts w:ascii="Times New Roman" w:hAnsi="Times New Roman"/>
          <w:sz w:val="26"/>
          <w:szCs w:val="26"/>
        </w:rPr>
        <w:t>размещение гаражей для собственных нужд.</w:t>
      </w:r>
    </w:p>
    <w:p>
      <w:pPr>
        <w:numPr>
          <w:ilvl w:val="0"/>
          <w:numId w:val="3"/>
        </w:numPr>
        <w:tabs>
          <w:tab w:val="left" w:pos="432"/>
        </w:tabs>
        <w:spacing w:before="0" w:after="0"/>
        <w:ind w:left="0" w:firstLine="426"/>
        <w:outlineLvl w:val="4"/>
        <w:rPr>
          <w:rFonts w:ascii="Times New Roman" w:hAnsi="Times New Roman" w:eastAsia="Calibri"/>
          <w:bCs/>
          <w:sz w:val="26"/>
          <w:szCs w:val="26"/>
        </w:rPr>
      </w:pPr>
    </w:p>
    <w:p>
      <w:pPr>
        <w:numPr>
          <w:ilvl w:val="0"/>
          <w:numId w:val="3"/>
        </w:numPr>
        <w:tabs>
          <w:tab w:val="left" w:pos="432"/>
        </w:tabs>
        <w:spacing w:before="0" w:after="0"/>
        <w:ind w:left="0" w:firstLine="426"/>
        <w:outlineLvl w:val="4"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Arial"/>
          <w:bCs/>
          <w:sz w:val="26"/>
          <w:szCs w:val="26"/>
          <w:lang w:eastAsia="en-US"/>
        </w:rPr>
        <w:t xml:space="preserve">Примечание 3. </w:t>
      </w:r>
    </w:p>
    <w:p>
      <w:pPr>
        <w:numPr>
          <w:ilvl w:val="0"/>
          <w:numId w:val="3"/>
        </w:numPr>
        <w:tabs>
          <w:tab w:val="left" w:pos="432"/>
        </w:tabs>
        <w:spacing w:before="0" w:after="0"/>
        <w:ind w:left="0" w:firstLine="426"/>
        <w:outlineLvl w:val="4"/>
        <w:rPr>
          <w:rFonts w:ascii="Times New Roman" w:hAnsi="Times New Roman" w:eastAsia="Calibri"/>
          <w:bCs/>
          <w:sz w:val="26"/>
          <w:szCs w:val="26"/>
        </w:rPr>
      </w:pPr>
      <w:r>
        <w:rPr>
          <w:rFonts w:ascii="Times New Roman" w:hAnsi="Times New Roman" w:eastAsia="Arial"/>
          <w:bCs/>
          <w:sz w:val="26"/>
          <w:szCs w:val="26"/>
          <w:lang w:eastAsia="en-US"/>
        </w:rPr>
        <w:t xml:space="preserve">Процент застройки, указанный в таблице, не распространяется на земельные участки, предназначенные для размещения гаражей. </w:t>
      </w:r>
    </w:p>
    <w:p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Примечание 4.</w:t>
      </w:r>
    </w:p>
    <w:p>
      <w:pPr>
        <w:spacing w:before="0" w:after="0"/>
        <w:rPr>
          <w:rFonts w:ascii="Times New Roman" w:hAnsi="Times New Roman" w:eastAsia="Calibri"/>
          <w:bCs/>
          <w:sz w:val="26"/>
          <w:szCs w:val="26"/>
          <w:lang w:eastAsia="en-US"/>
        </w:rPr>
      </w:pPr>
      <w:r>
        <w:rPr>
          <w:rFonts w:ascii="Times New Roman" w:hAnsi="Times New Roman"/>
          <w:bCs/>
          <w:sz w:val="26"/>
          <w:szCs w:val="26"/>
        </w:rPr>
        <w:t>Допускается образование земельных участков, предоставляемых гражданам для размещения гаражей, размеры которых меньше установленных предельных минимальных размеров, если образуемый земельный участок невозможно присоединить к другому земельному участку или иным способом увеличить их размеры до минимальных размеров, установленных настоящими Правилами, в следующем случае: образование земельных участков из земель, находящихся в государственной или муниципальной собственности, в сложившейся застройке, при наличии на образуемом участке объекта капитального строительства (здания),  права на который возникли у физического лица (заявителя) в установленном законом порядке</w:t>
      </w:r>
      <w:r>
        <w:rPr>
          <w:rFonts w:ascii="Times New Roman" w:hAnsi="Times New Roman" w:eastAsia="Calibri"/>
          <w:bCs/>
          <w:sz w:val="26"/>
          <w:szCs w:val="26"/>
        </w:rPr>
        <w:t>.</w:t>
      </w:r>
    </w:p>
    <w:p>
      <w:pPr>
        <w:spacing w:before="0" w:after="0"/>
        <w:contextualSpacing/>
        <w:outlineLvl w:val="4"/>
        <w:rPr>
          <w:rFonts w:ascii="Times New Roman" w:hAnsi="Times New Roman"/>
          <w:bCs/>
          <w:iCs/>
          <w:sz w:val="26"/>
          <w:lang w:eastAsia="ru-RU"/>
        </w:rPr>
      </w:pPr>
    </w:p>
    <w:p>
      <w:bookmarkStart w:id="0" w:name="_GoBack"/>
      <w:bookmarkEnd w:id="0"/>
    </w:p>
    <w:sectPr>
      <w:pgSz w:w="11906" w:h="16838"/>
      <w:pgMar w:top="850" w:right="850" w:bottom="85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pStyle w:val="2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pStyle w:val="4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lvl w:ilvl="0" w:tentative="0">
      <w:start w:val="1"/>
      <w:numFmt w:val="bullet"/>
      <w:pStyle w:val="7"/>
      <w:lvlText w:val=""/>
      <w:lvlJc w:val="left"/>
      <w:pPr>
        <w:tabs>
          <w:tab w:val="left" w:pos="0"/>
        </w:tabs>
        <w:ind w:left="0" w:firstLine="0"/>
      </w:pPr>
      <w:rPr>
        <w:rFonts w:ascii="Symbol" w:hAnsi="Symbol"/>
        <w:sz w:val="24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81DC0"/>
    <w:rsid w:val="08377C87"/>
    <w:rsid w:val="120E0000"/>
    <w:rsid w:val="1D6332C3"/>
    <w:rsid w:val="246D317A"/>
    <w:rsid w:val="3A917995"/>
    <w:rsid w:val="423179A5"/>
    <w:rsid w:val="45CE10F6"/>
    <w:rsid w:val="49F72B69"/>
    <w:rsid w:val="4EB81DC0"/>
    <w:rsid w:val="4F2F58BB"/>
    <w:rsid w:val="60C73B0B"/>
    <w:rsid w:val="66F97F7F"/>
    <w:rsid w:val="7C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before="280" w:after="280"/>
      <w:ind w:firstLine="709"/>
      <w:jc w:val="both"/>
    </w:pPr>
    <w:rPr>
      <w:rFonts w:ascii="Arial" w:hAnsi="Arial" w:eastAsia="Times New Roman" w:cs="Times New Roman"/>
      <w:lang w:val="ru-RU" w:eastAsia="ar-SA" w:bidi="ar-SA"/>
    </w:rPr>
  </w:style>
  <w:style w:type="paragraph" w:styleId="2">
    <w:name w:val="heading 5"/>
    <w:basedOn w:val="1"/>
    <w:next w:val="3"/>
    <w:qFormat/>
    <w:uiPriority w:val="0"/>
    <w:pPr>
      <w:numPr>
        <w:ilvl w:val="4"/>
        <w:numId w:val="1"/>
      </w:numPr>
      <w:outlineLvl w:val="4"/>
    </w:pPr>
    <w:rPr>
      <w:b/>
      <w:bCs/>
      <w:i/>
    </w:rPr>
  </w:style>
  <w:style w:type="paragraph" w:styleId="4">
    <w:name w:val="heading 6"/>
    <w:basedOn w:val="1"/>
    <w:next w:val="1"/>
    <w:qFormat/>
    <w:uiPriority w:val="0"/>
    <w:pPr>
      <w:numPr>
        <w:ilvl w:val="5"/>
        <w:numId w:val="1"/>
      </w:numPr>
      <w:outlineLvl w:val="5"/>
    </w:pPr>
    <w:rPr>
      <w:b/>
      <w:bCs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pPr>
      <w:spacing w:before="280" w:after="120"/>
    </w:pPr>
  </w:style>
  <w:style w:type="paragraph" w:styleId="7">
    <w:name w:val="List"/>
    <w:basedOn w:val="1"/>
    <w:qFormat/>
    <w:uiPriority w:val="0"/>
    <w:pPr>
      <w:numPr>
        <w:ilvl w:val="0"/>
        <w:numId w:val="2"/>
      </w:numPr>
    </w:pPr>
  </w:style>
  <w:style w:type="paragraph" w:customStyle="1" w:styleId="8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9">
    <w:name w:val="List Paragraph"/>
    <w:basedOn w:val="1"/>
    <w:qFormat/>
    <w:uiPriority w:val="34"/>
    <w:pPr>
      <w:suppressAutoHyphens w:val="0"/>
      <w:spacing w:before="0" w:after="200" w:line="276" w:lineRule="auto"/>
      <w:ind w:left="720" w:firstLine="0"/>
      <w:contextualSpacing/>
      <w:jc w:val="left"/>
    </w:pPr>
    <w:rPr>
      <w:rFonts w:ascii="Calibri" w:hAnsi="Calibri" w:eastAsia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2023-11-07T04:21:00Z</dcterms:created>
  <dc:creator>104-kab</dc:creator>
  <cp:lastModifiedBy>104-kab</cp:lastModifiedBy>
  <dcterms:modified xsi:type="dcterms:W3CDTF">2023-11-07T04:58:26Z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F2A8F5A325A74BF784895C41B199B1BC_13</vt:lpwstr>
  </property>
</Properties>
</file>