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Выписка </w:t>
      </w:r>
      <w:r>
        <w:rPr>
          <w:rFonts w:hint="default" w:ascii="Times New Roman" w:hAnsi="Times New Roman" w:cs="Times New Roman"/>
          <w:sz w:val="26"/>
          <w:szCs w:val="26"/>
        </w:rPr>
        <w:t>из Правил землепользования и застройки Кыштымского городского округа, утвержд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ё</w:t>
      </w:r>
      <w:r>
        <w:rPr>
          <w:rFonts w:hint="default" w:ascii="Times New Roman" w:hAnsi="Times New Roman" w:cs="Times New Roman"/>
          <w:sz w:val="26"/>
          <w:szCs w:val="26"/>
        </w:rPr>
        <w:t xml:space="preserve">нных решением Собрания депутатов Кыштымского городского округа от 25.01.2007 г.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t>№ 22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>
      <w:pPr>
        <w:outlineLvl w:val="4"/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О-1. Зона делового, общественного и коммерческого назначения</w:t>
      </w:r>
    </w:p>
    <w:p>
      <w:pPr>
        <w:ind w:firstLine="567"/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Основные виды разрешенного использования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Предпринимательство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Банковская и страховая деятельность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размещения организаций, оказывающих банковские и страховые услуги);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u w:val="single"/>
        </w:rPr>
        <w:t>- Общественное питание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Объекты торговли</w:t>
      </w:r>
      <w:r>
        <w:rPr>
          <w:rFonts w:ascii="Times New Roman" w:hAnsi="Times New Roman"/>
          <w:bCs/>
          <w:sz w:val="26"/>
          <w:szCs w:val="26"/>
        </w:rPr>
        <w:t xml:space="preserve"> (торговые центры, торгово-развлекательные центры (комплексы) (размещение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использования: банковская и страховая деятельность, общественное питание, развлечения; размещение гаражей и (или) стоянок для автомобилей сотрудников и посетителей торгового центра);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Магазины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продажи товаров, торговая площадь которых составляет до 5000 кв. м.);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Культурное развитие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следующих видов разрешенного использования: 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планетариев, размещение парков культуры и отдыха, 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- Выставочно-ярмарочная деятельность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(размещение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мероприятий);</w:t>
      </w:r>
    </w:p>
    <w:p>
      <w:pPr>
        <w:rPr>
          <w:rFonts w:ascii="Times New Roman" w:hAnsi="Times New Roman" w:eastAsia="Arial Unicode MS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Гостиничное обслуживание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гостиниц);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Общественное управление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использования: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услуги,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Деловое управление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-Обеспечение научной деятельности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(Размещение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использования: 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другие), 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отраслевые),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- Образование и просвещение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(размещение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использования: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спортом,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спортом);</w:t>
      </w:r>
    </w:p>
    <w:p>
      <w:pPr>
        <w:ind w:firstLine="142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- </w:t>
      </w:r>
      <w:r>
        <w:rPr>
          <w:rFonts w:ascii="Times New Roman" w:hAnsi="Times New Roman" w:eastAsia="Calibri"/>
          <w:bCs/>
          <w:sz w:val="26"/>
          <w:szCs w:val="26"/>
          <w:u w:val="single"/>
        </w:rPr>
        <w:t>Здравоохранение</w:t>
      </w:r>
      <w:r>
        <w:rPr>
          <w:rFonts w:ascii="Times New Roman" w:hAnsi="Times New Roman" w:eastAsia="Calibri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размещение объектов капитального строительства, предназначенных для оказания гражданам медицинской помощи</w:t>
      </w:r>
      <w:r>
        <w:rPr>
          <w:rFonts w:ascii="Times New Roman" w:hAnsi="Times New Roman" w:eastAsia="Calibri"/>
          <w:bCs/>
          <w:sz w:val="26"/>
          <w:szCs w:val="26"/>
        </w:rPr>
        <w:t xml:space="preserve">. Содержание данного вида разрешенного использования включает в себя содержание видов разрешенного использования: </w:t>
      </w:r>
      <w:r>
        <w:rPr>
          <w:rFonts w:ascii="Times New Roman" w:hAnsi="Times New Roman"/>
          <w:bCs/>
          <w:sz w:val="26"/>
          <w:szCs w:val="26"/>
        </w:rPr>
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лаборатории,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</w:r>
      <w:r>
        <w:rPr>
          <w:rFonts w:ascii="Times New Roman" w:hAnsi="Times New Roman" w:eastAsia="Calibri"/>
          <w:bCs/>
          <w:sz w:val="26"/>
          <w:szCs w:val="26"/>
        </w:rPr>
        <w:t>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 xml:space="preserve"> -Амбулаторное ветеринарное обслуживание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(размещение объектов капитального строительства, предназначенных для оказания ветеринарных услуг без содержания животных);</w:t>
      </w:r>
    </w:p>
    <w:p>
      <w:pPr>
        <w:ind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Бытовое обслуживание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</w:r>
    </w:p>
    <w:p>
      <w:pPr>
        <w:ind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u w:val="single"/>
        </w:rPr>
        <w:t>- Социальное обслуживание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следующих видов разрешенного использования: 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беженцами);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интересам); размещение зданий, предназначенных для размещения пунктов оказания услуг почтовой, телеграфной, междугородней и международной телефонной связи); размещение зданий, предназначенных для размещения общежитий, предназначенных для проживания граждан на время их работы, службы или обучения);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/>
          <w:bCs/>
          <w:sz w:val="26"/>
          <w:szCs w:val="26"/>
          <w:u w:val="single"/>
        </w:rPr>
        <w:t>- Историко-культурная деятельность</w:t>
      </w:r>
      <w:r>
        <w:rPr>
          <w:rFonts w:ascii="Times New Roman" w:hAnsi="Times New Roman" w:eastAsia="Calibri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</w:r>
      <w:r>
        <w:rPr>
          <w:rFonts w:ascii="Times New Roman" w:hAnsi="Times New Roman" w:eastAsia="Calibri"/>
          <w:bCs/>
          <w:sz w:val="26"/>
          <w:szCs w:val="26"/>
        </w:rPr>
        <w:t>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Хранение автотранспорта</w:t>
      </w:r>
      <w:r>
        <w:rPr>
          <w:rFonts w:ascii="Times New Roman" w:hAnsi="Times New Roman"/>
          <w:bCs/>
          <w:sz w:val="26"/>
          <w:szCs w:val="26"/>
        </w:rPr>
        <w:t xml:space="preserve"> (размещение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Коммунальное обслуживание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следующих видов разрешенного использования: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 размещение зданий, предназначенных для приема физических и юридических лиц в связи с предоставлением им коммунальных услуг).</w:t>
      </w:r>
    </w:p>
    <w:p>
      <w:pPr>
        <w:numPr>
          <w:ilvl w:val="0"/>
          <w:numId w:val="1"/>
        </w:numPr>
        <w:tabs>
          <w:tab w:val="left" w:pos="709"/>
        </w:tabs>
        <w:spacing w:before="0" w:after="0"/>
        <w:ind w:left="0" w:firstLine="142"/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 xml:space="preserve">Условно разрешенные виды использования 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Среднеэтажная жилая застройка</w:t>
      </w:r>
      <w:r>
        <w:rPr>
          <w:rFonts w:ascii="Times New Roman" w:hAnsi="Times New Roman"/>
          <w:bCs/>
          <w:sz w:val="26"/>
          <w:szCs w:val="26"/>
        </w:rPr>
        <w:t xml:space="preserve"> (размещение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  <w:u w:val="single"/>
        </w:rPr>
        <w:t xml:space="preserve">- </w:t>
      </w:r>
      <w:r>
        <w:rPr>
          <w:rFonts w:ascii="Times New Roman" w:hAnsi="Times New Roman"/>
          <w:bCs/>
          <w:sz w:val="26"/>
          <w:szCs w:val="26"/>
          <w:u w:val="single"/>
        </w:rPr>
        <w:t>Обслуживание жилой застройки</w:t>
      </w:r>
      <w:r>
        <w:rPr>
          <w:rFonts w:ascii="Times New Roman" w:hAnsi="Times New Roman" w:eastAsia="Calibri"/>
          <w:bCs/>
          <w:sz w:val="26"/>
          <w:szCs w:val="26"/>
        </w:rPr>
        <w:t xml:space="preserve"> (р</w:t>
      </w:r>
      <w:r>
        <w:rPr>
          <w:rFonts w:ascii="Times New Roman" w:hAnsi="Times New Roman"/>
          <w:bCs/>
          <w:sz w:val="26"/>
          <w:szCs w:val="26"/>
        </w:rPr>
        <w:t>азмещение объектов капитального строительства, размещение которых предусмотрено видами разрешенного использования: коммунальное обслуживание, социальное обслуживание, бытовое обслуживание, здравоохранение, амбулаторно-поликлиническое обслуживание, дошкольное, начальное и среднее общее образование, культурное развитие, религиозное использование, амбулаторное ветеринарное обслуживание, рынки, магазины, общественное питание, обеспечение занятий спортом в помещениях, площадки для занятий спортом,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- Развлечение </w:t>
      </w:r>
      <w:r>
        <w:rPr>
          <w:rFonts w:ascii="Times New Roman" w:hAnsi="Times New Roman"/>
          <w:bCs/>
          <w:sz w:val="26"/>
          <w:szCs w:val="26"/>
        </w:rPr>
        <w:t>(размещение зданий и сооружений, предназначенных для развлечения. Содержание данного вида разрешенного использования включает в себя содержание следующих видов разрешенного использования: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Рынки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 Объекты дорожного сервиса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 дорожного сервиса. Содержание данного вида разрешенного использования включает в себя содержание следующих видов разрешенного использования: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 размещение автомобильных моек, а также размещение магазинов сопутствующей торговли;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торговли);</w:t>
      </w:r>
    </w:p>
    <w:p>
      <w:pPr>
        <w:ind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Железнодорожный транспорт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использования: размещение железнодорожных путей, 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законами).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 xml:space="preserve">Вспомогательные виды разрешенного использования 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 xml:space="preserve">- </w:t>
      </w:r>
      <w:r>
        <w:rPr>
          <w:rFonts w:ascii="Times New Roman" w:hAnsi="Times New Roman" w:eastAsia="Calibri"/>
          <w:bCs/>
          <w:sz w:val="26"/>
          <w:szCs w:val="26"/>
          <w:u w:val="single"/>
        </w:rPr>
        <w:t>Трубопроводный транспорт</w:t>
      </w:r>
      <w:r>
        <w:rPr>
          <w:rFonts w:ascii="Times New Roman" w:hAnsi="Times New Roman" w:eastAsia="Calibri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>
        <w:rPr>
          <w:rFonts w:ascii="Times New Roman" w:hAnsi="Times New Roman" w:eastAsia="Calibri"/>
          <w:bCs/>
          <w:sz w:val="26"/>
          <w:szCs w:val="26"/>
        </w:rPr>
        <w:t>);</w:t>
      </w:r>
    </w:p>
    <w:p>
      <w:pPr>
        <w:numPr>
          <w:ilvl w:val="0"/>
          <w:numId w:val="1"/>
        </w:numPr>
        <w:spacing w:before="0" w:after="0"/>
        <w:ind w:left="0"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Автомобильный транспорт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 автомобильного транспорта. Содержание данного вида разрешенного использования включает в себя содержание следующих видов разрешенного использования: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зданий и сооружений, предназначенных для обслуживания пассажиров, стоянок транспортных средств, осуществляющих перевозки людей по установленному маршруту);</w:t>
      </w:r>
    </w:p>
    <w:p>
      <w:pPr>
        <w:tabs>
          <w:tab w:val="left" w:pos="709"/>
        </w:tabs>
        <w:ind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bCs/>
          <w:sz w:val="26"/>
          <w:szCs w:val="26"/>
          <w:u w:val="single"/>
        </w:rPr>
        <w:t>- Связь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телерадиовещания);</w:t>
      </w:r>
    </w:p>
    <w:p>
      <w:pPr>
        <w:ind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Обеспечение деятельности в области гидрометеорологии и смежных с ней областях</w:t>
      </w:r>
      <w:r>
        <w:rPr>
          <w:rFonts w:ascii="Times New Roman" w:hAnsi="Times New Roman"/>
          <w:bCs/>
          <w:sz w:val="26"/>
          <w:szCs w:val="26"/>
        </w:rPr>
        <w:t xml:space="preserve"> (размещение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Земельные участки (территории) общего пользования</w:t>
      </w:r>
      <w:r>
        <w:rPr>
          <w:rFonts w:ascii="Times New Roman" w:hAnsi="Times New Roman"/>
          <w:bCs/>
          <w:sz w:val="26"/>
          <w:szCs w:val="26"/>
        </w:rPr>
        <w:t xml:space="preserve"> (земельные участки общего пользования. Содержание данного вида разрешенного использования включает в себя содержание следующих видов разрешенного использования: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Спорт</w:t>
      </w:r>
      <w:r>
        <w:rPr>
          <w:rFonts w:ascii="Times New Roman" w:hAnsi="Times New Roman"/>
          <w:bCs/>
          <w:sz w:val="26"/>
          <w:szCs w:val="26"/>
        </w:rPr>
        <w:t xml:space="preserve"> (размещение зданий и сооружений для занятия спортом. Содержание данного вида разрешенного использования включает в себя содержание следующих видов разрешенного использования: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ипподромов), спортивных клубов, спортивных залов, бассейнов, физкультурно-оздоровительных комплексов в зданиях и сооружениях, площадок для занятия спортом и физкультурой на открытом воздухе (физкультурные площадки, беговые дорожки, поля для спортивной игры), сооружений для занятия спортом и физкультурой на открытом воздухе (теннисные корты, автодромы, мотодромы, трамплины, спортивные стрельбища),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инвентаря),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инвентаря), спортивных баз и лагерей, в которых осуществляется спортивная подготовка длительно проживающих в них лиц);</w:t>
      </w:r>
    </w:p>
    <w:p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u w:val="single"/>
        </w:rPr>
        <w:t>- Отдых (рекреация)</w:t>
      </w:r>
      <w:r>
        <w:rPr>
          <w:rFonts w:ascii="Times New Roman" w:hAnsi="Times New Roman"/>
          <w:bCs/>
          <w:sz w:val="26"/>
          <w:szCs w:val="26"/>
        </w:rPr>
        <w:t xml:space="preserve"> (обустройство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использования: размещение зданий и сооружений для занятия спортом,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мероприятий, 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рыбы, размещение сооружений, предназначенных для причаливания, хранения и обслуживания яхт, катеров, лодок и других маломерных судов, 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трибун);</w:t>
      </w:r>
    </w:p>
    <w:p>
      <w:pPr>
        <w:tabs>
          <w:tab w:val="left" w:pos="709"/>
        </w:tabs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-Водные объекты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(ледники, снежники, ручьи, реки, озера, болота, территориальные моря и другие поверхностные водные объекты);</w:t>
      </w:r>
    </w:p>
    <w:p>
      <w:pPr>
        <w:tabs>
          <w:tab w:val="left" w:pos="709"/>
        </w:tabs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-Общее пользование водными объектами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(использование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законодательством);</w:t>
      </w:r>
    </w:p>
    <w:p>
      <w:pPr>
        <w:tabs>
          <w:tab w:val="left" w:pos="709"/>
        </w:tabs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-Специальное пользование водными объектами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(использование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объектов);</w:t>
      </w:r>
    </w:p>
    <w:p>
      <w:pPr>
        <w:tabs>
          <w:tab w:val="left" w:pos="709"/>
        </w:tabs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u w:val="single"/>
          <w:lang w:eastAsia="en-US"/>
        </w:rPr>
        <w:t>-Гидротехнические сооружения</w:t>
      </w:r>
      <w:r>
        <w:rPr>
          <w:rFonts w:ascii="Times New Roman" w:hAnsi="Times New Roman" w:eastAsia="Calibri"/>
          <w:bCs/>
          <w:sz w:val="26"/>
          <w:szCs w:val="26"/>
          <w:lang w:eastAsia="en-US"/>
        </w:rPr>
        <w:t xml:space="preserve"> (размещение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сооружений).</w:t>
      </w:r>
    </w:p>
    <w:p>
      <w:pPr>
        <w:tabs>
          <w:tab w:val="left" w:pos="0"/>
        </w:tabs>
        <w:rPr>
          <w:rFonts w:ascii="Times New Roman" w:hAnsi="Times New Roman" w:eastAsia="Arial Unicode MS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lang w:eastAsia="en-US"/>
        </w:rPr>
        <w:t>*Примечание</w:t>
      </w:r>
    </w:p>
    <w:p>
      <w:pPr>
        <w:tabs>
          <w:tab w:val="left" w:pos="0"/>
        </w:tabs>
        <w:ind w:firstLine="0"/>
        <w:rPr>
          <w:rFonts w:ascii="Times New Roman" w:hAnsi="Times New Roman" w:eastAsia="Calibri"/>
          <w:bCs/>
          <w:sz w:val="26"/>
          <w:szCs w:val="26"/>
          <w:lang w:eastAsia="en-US"/>
        </w:rPr>
      </w:pPr>
      <w:r>
        <w:rPr>
          <w:rFonts w:ascii="Times New Roman" w:hAnsi="Times New Roman" w:eastAsia="Calibri"/>
          <w:bCs/>
          <w:sz w:val="26"/>
          <w:szCs w:val="26"/>
          <w:lang w:eastAsia="en-US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>
      <w:pPr>
        <w:spacing w:before="0" w:after="0"/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Предельные параметры земельных участков и предельные параметры разрешенного строительства, реконструкции объектов капитального строительства </w:t>
      </w:r>
    </w:p>
    <w:p>
      <w:pPr>
        <w:spacing w:before="0" w:after="0"/>
        <w:ind w:firstLine="0"/>
        <w:rPr>
          <w:rFonts w:ascii="Times New Roman" w:hAnsi="Times New Roman"/>
          <w:bCs/>
          <w:sz w:val="26"/>
          <w:szCs w:val="26"/>
        </w:rPr>
      </w:pPr>
    </w:p>
    <w:tbl>
      <w:tblPr>
        <w:tblStyle w:val="3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850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567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Виды параметров и единицы измерения</w:t>
            </w:r>
          </w:p>
          <w:p>
            <w:pPr>
              <w:tabs>
                <w:tab w:val="right" w:pos="567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567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Значения параметров применительно к основным разрешенным видам использования недвижимости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567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 xml:space="preserve">Объект капитального строительства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Предельные параметры разрешенного строительства, реконструкции объектов капитального строительства в пределах участков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567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%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napToGrid w:val="0"/>
              <w:spacing w:before="0" w:after="0"/>
              <w:ind w:firstLine="0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Минимальный отступ от передней границы земельного участка в целях определения места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м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а) в соответствии со сложившейся линией застройки</w:t>
            </w:r>
          </w:p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б) 5</w:t>
            </w:r>
            <w:r>
              <w:rPr>
                <w:rFonts w:ascii="Times New Roman" w:hAnsi="Times New Roman" w:eastAsia="Arial"/>
                <w:bCs/>
                <w:sz w:val="22"/>
                <w:szCs w:val="22"/>
                <w:lang w:val="en-US"/>
              </w:rPr>
              <w:t xml:space="preserve"> –</w:t>
            </w: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 xml:space="preserve"> в иных случаях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napToGrid w:val="0"/>
              <w:spacing w:before="0" w:after="0"/>
              <w:ind w:firstLine="0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Минимальные отступы строений от боковых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м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а) 1</w:t>
            </w:r>
          </w:p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б) 5 – в иных случаях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napToGrid w:val="0"/>
              <w:spacing w:before="0" w:after="0"/>
              <w:ind w:firstLine="0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Минимальный отступ строений от задней границы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м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а) 1</w:t>
            </w:r>
          </w:p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б) 5 – в иных случаях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0" w:after="0"/>
              <w:ind w:firstLine="0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Предельное количество этажей или предельная высота зданий, строений, сооружений</w:t>
            </w:r>
          </w:p>
          <w:p>
            <w:pPr>
              <w:tabs>
                <w:tab w:val="left" w:pos="708"/>
              </w:tabs>
              <w:snapToGrid w:val="0"/>
              <w:spacing w:before="0" w:after="0"/>
              <w:ind w:firstLine="0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(до конька крыши)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Bdr>
                <w:bottom w:val="single" w:color="auto" w:sz="4" w:space="1"/>
              </w:pBdr>
              <w:tabs>
                <w:tab w:val="right" w:pos="493"/>
                <w:tab w:val="right" w:pos="567"/>
              </w:tabs>
              <w:snapToGrid w:val="0"/>
              <w:spacing w:before="0" w:after="0"/>
              <w:ind w:firstLine="0"/>
              <w:jc w:val="center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</w:p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Кол.</w:t>
            </w:r>
          </w:p>
          <w:p>
            <w:pPr>
              <w:tabs>
                <w:tab w:val="right" w:pos="493"/>
                <w:tab w:val="right" w:pos="567"/>
              </w:tabs>
              <w:snapToGrid w:val="0"/>
              <w:spacing w:before="0" w:after="0"/>
              <w:ind w:firstLine="0"/>
              <w:jc w:val="center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эт.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bottom w:val="single" w:color="auto" w:sz="4" w:space="1"/>
              </w:pBdr>
              <w:tabs>
                <w:tab w:val="right" w:pos="567"/>
              </w:tabs>
              <w:snapToGrid w:val="0"/>
              <w:spacing w:before="0" w:after="0"/>
              <w:ind w:firstLine="0"/>
              <w:jc w:val="center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  <w:p>
            <w:pPr>
              <w:tabs>
                <w:tab w:val="right" w:pos="567"/>
              </w:tabs>
              <w:snapToGrid w:val="0"/>
              <w:spacing w:before="0" w:after="0"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>
            <w:pPr>
              <w:tabs>
                <w:tab w:val="right" w:pos="567"/>
              </w:tabs>
              <w:snapToGrid w:val="0"/>
              <w:spacing w:before="0" w:after="0"/>
              <w:ind w:firstLine="0"/>
              <w:jc w:val="center"/>
              <w:rPr>
                <w:rFonts w:ascii="Times New Roman" w:hAnsi="Times New Roman" w:eastAsia="Arial Unicode MS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Минимальный процент озеленения в границах земельного участка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%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8"/>
              </w:tabs>
              <w:spacing w:before="0" w:after="0"/>
              <w:ind w:firstLine="0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Минимальный процент под парковочные места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493"/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%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567"/>
              </w:tabs>
              <w:spacing w:before="0" w:after="0"/>
              <w:ind w:firstLine="0"/>
              <w:jc w:val="center"/>
              <w:rPr>
                <w:rFonts w:ascii="Times New Roman" w:hAnsi="Times New Roman" w:eastAsia="Arial"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imes New Roman" w:hAnsi="Times New Roman" w:eastAsia="Arial"/>
                <w:bCs/>
                <w:sz w:val="22"/>
                <w:szCs w:val="22"/>
              </w:rPr>
              <w:t>15</w:t>
            </w:r>
          </w:p>
        </w:tc>
      </w:tr>
    </w:tbl>
    <w:p>
      <w:pPr>
        <w:rPr>
          <w:rFonts w:ascii="Times New Roman" w:hAnsi="Times New Roman" w:eastAsia="Arial Unicode MS"/>
          <w:bCs/>
          <w:sz w:val="26"/>
          <w:szCs w:val="26"/>
          <w:lang w:eastAsia="en-US" w:bidi="en-US"/>
        </w:rPr>
      </w:pPr>
      <w:r>
        <w:rPr>
          <w:rFonts w:ascii="Times New Roman" w:hAnsi="Times New Roman" w:eastAsia="Calibri"/>
          <w:bCs/>
          <w:sz w:val="26"/>
          <w:szCs w:val="26"/>
          <w:lang w:eastAsia="en-US"/>
        </w:rPr>
        <w:t>Установлены ограничения в использовании земельных участков (статья 27 Земельного кодекса РФ).</w:t>
      </w:r>
    </w:p>
    <w:p>
      <w:pPr>
        <w:rPr>
          <w:rFonts w:ascii="Times New Roman" w:hAnsi="Times New Roman" w:eastAsia="Arial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</w:rPr>
        <w:t xml:space="preserve">Примечания к таблице </w:t>
      </w:r>
    </w:p>
    <w:p>
      <w:pPr>
        <w:rPr>
          <w:rFonts w:ascii="Times New Roman" w:hAnsi="Times New Roman" w:eastAsia="Arial"/>
          <w:bCs/>
          <w:sz w:val="26"/>
          <w:szCs w:val="26"/>
        </w:rPr>
      </w:pPr>
      <w:r>
        <w:rPr>
          <w:rFonts w:ascii="Times New Roman" w:hAnsi="Times New Roman" w:eastAsia="Arial"/>
          <w:bCs/>
          <w:sz w:val="26"/>
          <w:szCs w:val="26"/>
        </w:rPr>
        <w:t>Примечание 1.</w:t>
      </w:r>
    </w:p>
    <w:p>
      <w:pPr>
        <w:tabs>
          <w:tab w:val="right" w:pos="567"/>
        </w:tabs>
        <w:rPr>
          <w:rFonts w:ascii="Times New Roman" w:hAnsi="Times New Roman" w:eastAsia="Arial"/>
          <w:bCs/>
          <w:sz w:val="26"/>
          <w:szCs w:val="26"/>
          <w:lang w:eastAsia="en-US"/>
        </w:rPr>
      </w:pPr>
      <w:r>
        <w:rPr>
          <w:rFonts w:ascii="Times New Roman" w:hAnsi="Times New Roman" w:eastAsia="Arial"/>
          <w:bCs/>
          <w:sz w:val="26"/>
          <w:szCs w:val="26"/>
          <w:lang w:eastAsia="en-US"/>
        </w:rPr>
        <w:t>Допускаются отклонения от представленных в таблице параметров в пределах 10%.</w:t>
      </w:r>
    </w:p>
    <w:p>
      <w:pPr>
        <w:rPr>
          <w:rFonts w:ascii="Times New Roman" w:hAnsi="Times New Roman" w:eastAsia="Arial Unicode MS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Примечание 2.</w:t>
      </w:r>
    </w:p>
    <w:p>
      <w:pPr>
        <w:tabs>
          <w:tab w:val="right" w:pos="567"/>
        </w:tabs>
        <w:rPr>
          <w:rFonts w:ascii="Times New Roman" w:hAnsi="Times New Roman" w:eastAsia="Arial"/>
          <w:bCs/>
          <w:sz w:val="26"/>
          <w:szCs w:val="26"/>
          <w:lang w:eastAsia="en-US"/>
        </w:rPr>
      </w:pPr>
      <w:r>
        <w:rPr>
          <w:rFonts w:ascii="Times New Roman" w:hAnsi="Times New Roman" w:eastAsia="Arial"/>
          <w:bCs/>
          <w:sz w:val="26"/>
          <w:szCs w:val="26"/>
          <w:lang w:eastAsia="en-US"/>
        </w:rPr>
        <w:t>Установление минимальных, максимальных размеров земельных участков, в том числе их площади в отношении данной зоны не требуется.</w:t>
      </w:r>
    </w:p>
    <w:p>
      <w:pPr>
        <w:tabs>
          <w:tab w:val="right" w:pos="567"/>
        </w:tabs>
        <w:rPr>
          <w:rFonts w:ascii="Times New Roman" w:hAnsi="Times New Roman" w:eastAsia="Arial"/>
          <w:bCs/>
          <w:sz w:val="26"/>
          <w:szCs w:val="26"/>
          <w:lang w:eastAsia="en-US"/>
        </w:rPr>
      </w:pPr>
      <w:r>
        <w:rPr>
          <w:rFonts w:ascii="Times New Roman" w:hAnsi="Times New Roman" w:eastAsia="Arial"/>
          <w:bCs/>
          <w:sz w:val="26"/>
          <w:szCs w:val="26"/>
          <w:lang w:eastAsia="en-US"/>
        </w:rPr>
        <w:t>Примечание 3.</w:t>
      </w:r>
    </w:p>
    <w:p>
      <w:pPr>
        <w:spacing w:before="0" w:after="0"/>
        <w:ind w:firstLine="708"/>
        <w:contextualSpacing/>
        <w:outlineLvl w:val="4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 w:eastAsia="Arial"/>
          <w:bCs/>
          <w:sz w:val="26"/>
          <w:szCs w:val="26"/>
          <w:lang w:eastAsia="en-US"/>
        </w:rPr>
        <w:t>Отступление от предельных параметров разрешенного строительства допускается при положительном заключении результатов публичных слушаний.</w:t>
      </w:r>
    </w:p>
    <w:p>
      <w:bookmarkStart w:id="0" w:name="_GoBack"/>
      <w:bookmarkEnd w:id="0"/>
    </w:p>
    <w:sectPr>
      <w:pgSz w:w="11906" w:h="16838"/>
      <w:pgMar w:top="850" w:right="850" w:bottom="85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81DC0"/>
    <w:rsid w:val="08377C87"/>
    <w:rsid w:val="120E0000"/>
    <w:rsid w:val="1D6332C3"/>
    <w:rsid w:val="423179A5"/>
    <w:rsid w:val="45CE10F6"/>
    <w:rsid w:val="4EB81DC0"/>
    <w:rsid w:val="4F2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before="280" w:after="280"/>
      <w:ind w:firstLine="709"/>
      <w:jc w:val="both"/>
    </w:pPr>
    <w:rPr>
      <w:rFonts w:ascii="Arial" w:hAnsi="Arial" w:eastAsia="Times New Roman" w:cs="Times New Roman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2023-11-07T04:21:00Z</dcterms:created>
  <dc:creator>104-kab</dc:creator>
  <cp:lastModifiedBy>104-kab</cp:lastModifiedBy>
  <dcterms:modified xsi:type="dcterms:W3CDTF">2023-11-07T04:56:52Z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1A99A0F05602460AABF9182400DCF68A_13</vt:lpwstr>
  </property>
</Properties>
</file>