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Выписка </w:t>
      </w:r>
      <w:r>
        <w:rPr>
          <w:rFonts w:hint="default" w:ascii="Times New Roman" w:hAnsi="Times New Roman" w:cs="Times New Roman"/>
          <w:sz w:val="26"/>
          <w:szCs w:val="26"/>
        </w:rPr>
        <w:t>из Правил землепользования и застройки Кыштымского городского округа, утвержд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ё</w:t>
      </w:r>
      <w:r>
        <w:rPr>
          <w:rFonts w:hint="default" w:ascii="Times New Roman" w:hAnsi="Times New Roman" w:cs="Times New Roman"/>
          <w:sz w:val="26"/>
          <w:szCs w:val="26"/>
        </w:rPr>
        <w:t xml:space="preserve">нных решением Собрания депутатов Кыштымского городского округа от 25.01.2007 г.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hint="default" w:ascii="Times New Roman" w:hAnsi="Times New Roman" w:cs="Times New Roman"/>
          <w:sz w:val="26"/>
          <w:szCs w:val="26"/>
        </w:rPr>
        <w:t>№ 22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СХ-1 Зона сельскохозяйственного использования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</w:pPr>
    </w:p>
    <w:p>
      <w:pPr>
        <w:numPr>
          <w:ilvl w:val="0"/>
          <w:numId w:val="4"/>
        </w:numPr>
        <w:tabs>
          <w:tab w:val="left" w:pos="432"/>
          <w:tab w:val="left" w:pos="708"/>
        </w:tabs>
        <w:spacing w:before="0" w:after="0"/>
        <w:ind w:left="0" w:firstLine="0"/>
        <w:outlineLvl w:val="5"/>
        <w:rPr>
          <w:rFonts w:ascii="Times New Roman" w:hAnsi="Times New Roman" w:eastAsia="Arial Unicode MS"/>
          <w:bCs/>
          <w:sz w:val="26"/>
          <w:szCs w:val="26"/>
          <w:u w:val="single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Основные виды разрешенного использования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Для ведения личного подсобного хозяйства</w:t>
      </w:r>
      <w:r>
        <w:rPr>
          <w:rFonts w:ascii="Times New Roman" w:hAnsi="Times New Roman"/>
          <w:bCs/>
          <w:sz w:val="26"/>
          <w:szCs w:val="26"/>
        </w:rPr>
        <w:t xml:space="preserve"> (приусадебный земельный участок)</w:t>
      </w:r>
      <w:r>
        <w:rPr>
          <w:rFonts w:ascii="Times New Roman" w:hAnsi="Times New Roman" w:eastAsia="Calibri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продукции;размещение гаража и иных вспомогательных сооружений; содержание сельскохозяйственных животных</w:t>
      </w:r>
      <w:r>
        <w:rPr>
          <w:rFonts w:ascii="Times New Roman" w:hAnsi="Times New Roman" w:eastAsia="Calibri"/>
          <w:bCs/>
          <w:sz w:val="26"/>
          <w:szCs w:val="26"/>
        </w:rPr>
        <w:t xml:space="preserve">); 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- </w:t>
      </w:r>
      <w:r>
        <w:rPr>
          <w:rFonts w:ascii="Times New Roman" w:hAnsi="Times New Roman" w:eastAsia="Calibri"/>
          <w:bCs/>
          <w:sz w:val="26"/>
          <w:szCs w:val="26"/>
          <w:u w:val="single"/>
        </w:rPr>
        <w:t>Растениеводство</w:t>
      </w:r>
      <w:r>
        <w:rPr>
          <w:rFonts w:ascii="Times New Roman" w:hAnsi="Times New Roman" w:eastAsia="Calibri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Осуществление хозяйственной деятельности, связанной с выращиванием сельскохозяйственных культур.</w:t>
      </w:r>
      <w:r>
        <w:rPr>
          <w:rFonts w:ascii="Times New Roman" w:hAnsi="Times New Roman" w:eastAsia="Calibri"/>
          <w:bCs/>
          <w:sz w:val="26"/>
          <w:szCs w:val="26"/>
        </w:rPr>
        <w:t>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Выращивание зерновых и иных сельскохозяйственных культур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Овощеводство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Выращивание тонизирующих, лекарственных, цветочных культур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Хранение и переработка сельскохозяйственной продукции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Питомники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Arial Unicode MS"/>
          <w:bCs/>
          <w:sz w:val="26"/>
          <w:szCs w:val="26"/>
          <w:lang w:eastAsia="en-US" w:bidi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Ведение огородничества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Пчеловодство</w:t>
      </w:r>
      <w:r>
        <w:rPr>
          <w:rFonts w:ascii="Times New Roman" w:hAnsi="Times New Roman"/>
          <w:bCs/>
          <w:sz w:val="26"/>
          <w:szCs w:val="26"/>
        </w:rPr>
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Обеспечение сельскохозяйственного производства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Коммунальное обслуживание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следующих видов разрешенного использования: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размещение зданий, предназначенных для приема физических и юридических лиц в связи с предоставлением им коммунальных услуг).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firstLine="0"/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Условно разрешенные виды использования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- </w:t>
      </w:r>
      <w:r>
        <w:rPr>
          <w:rFonts w:ascii="Times New Roman" w:hAnsi="Times New Roman" w:eastAsia="Calibri"/>
          <w:bCs/>
          <w:sz w:val="26"/>
          <w:szCs w:val="26"/>
          <w:u w:val="single"/>
        </w:rPr>
        <w:t>Птицеводство</w:t>
      </w:r>
      <w:r>
        <w:rPr>
          <w:rFonts w:ascii="Times New Roman" w:hAnsi="Times New Roman" w:eastAsia="Calibri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</w:t>
      </w:r>
      <w:r>
        <w:rPr>
          <w:rFonts w:ascii="Times New Roman" w:hAnsi="Times New Roman" w:eastAsia="Calibri"/>
          <w:bCs/>
          <w:sz w:val="26"/>
          <w:szCs w:val="26"/>
        </w:rPr>
        <w:t>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</w:rPr>
      </w:pPr>
      <w:r>
        <w:rPr>
          <w:rFonts w:ascii="Times New Roman" w:hAnsi="Times New Roman" w:eastAsia="Calibri"/>
          <w:bCs/>
          <w:sz w:val="26"/>
          <w:szCs w:val="26"/>
          <w:u w:val="single"/>
        </w:rPr>
        <w:t>- Скотоводство</w:t>
      </w:r>
      <w:r>
        <w:rPr>
          <w:rFonts w:ascii="Times New Roman" w:hAnsi="Times New Roman" w:eastAsia="Calibri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</w:t>
      </w:r>
      <w:r>
        <w:rPr>
          <w:rFonts w:ascii="Times New Roman" w:hAnsi="Times New Roman" w:eastAsia="Calibri"/>
          <w:bCs/>
          <w:sz w:val="26"/>
          <w:szCs w:val="26"/>
        </w:rPr>
        <w:t>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Arial Unicode MS"/>
          <w:bCs/>
          <w:sz w:val="26"/>
          <w:szCs w:val="26"/>
          <w:lang w:eastAsia="en-US" w:bidi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Амбулаторное ветеринарное обслуживание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объектов капитального строительства, предназначенных для оказания ветеринарных услуг без содержания животных);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Ветеринарное обслуживание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Приюты для животных</w:t>
      </w:r>
      <w:r>
        <w:rPr>
          <w:rFonts w:ascii="Times New Roman" w:hAnsi="Times New Roman"/>
          <w:bCs/>
          <w:sz w:val="26"/>
          <w:szCs w:val="26"/>
        </w:rPr>
        <w:t xml:space="preserve"> (Размещение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животных).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firstLine="0"/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Вспомогательные виды разрешенного использования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-Трубопроводный транспорт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Автомобильный транспорт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зданий и сооружений автомобильного транспорта. Содержание данного вида разрешенного использования включает в себя содержание следующих видов разрешенного использования: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зданий и сооружений, предназначенных для обслуживания пассажиров, стоянок транспортных средств, осуществляющих перевозки людей по установленному маршруту);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Связь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Обеспечение деятельности в области гидрометеорологии и смежных с ней областях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Земельные участки (территории) общего пользования</w:t>
      </w:r>
      <w:r>
        <w:rPr>
          <w:rFonts w:ascii="Times New Roman" w:hAnsi="Times New Roman"/>
          <w:bCs/>
          <w:sz w:val="26"/>
          <w:szCs w:val="26"/>
        </w:rPr>
        <w:t xml:space="preserve"> (земельные участки общего пользования. Содержание данного вида разрешенного использования включает в себя содержание следующих видов разрешенного использования: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Спорт</w:t>
      </w:r>
      <w:r>
        <w:rPr>
          <w:rFonts w:ascii="Times New Roman" w:hAnsi="Times New Roman"/>
          <w:bCs/>
          <w:sz w:val="26"/>
          <w:szCs w:val="26"/>
        </w:rPr>
        <w:t xml:space="preserve"> (размещение зданий и сооружений для занятия спортом. Содержание данного вида разрешенного использования включает в себя содержание следующих видов разрешенного использования: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ипподромов), спортивных клубов, спортивных залов, бассейнов, физкультурно-оздоровительных комплексов в зданиях и сооружениях, площадок для занятия спортом и физкультурой на открытом воздухе (физкультурные площадки, беговые дорожки, поля для спортивной игры), сооружений для занятия спортом и физкультурой на открытом воздухе (теннисные корты, автодромы, мотодромы, трамплины, спортивные стрельбища),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инвентаря),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инвентаря), спортивных баз и лагерей, в которых осуществляется спортивная подготовка длительно проживающих в них лиц);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- Отдых (рекреация)</w:t>
      </w:r>
      <w:r>
        <w:rPr>
          <w:rFonts w:ascii="Times New Roman" w:hAnsi="Times New Roman"/>
          <w:bCs/>
          <w:sz w:val="26"/>
          <w:szCs w:val="26"/>
        </w:rPr>
        <w:t xml:space="preserve">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использования: размещение зданий и сооружений для занятия спортом,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мероприятий,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рыбы, размещение сооружений, предназначенных для причаливания, хранения и обслуживания яхт, катеров, лодок и других маломерных судов, 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Водные объекты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(ледники, снежники, ручьи, реки, озера, болота, территориальные моря и другие поверхностные водные объекты);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Общее пользование водными объектами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Специальное пользование водными объектами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объектов);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left="0"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u w:val="single"/>
          <w:lang w:eastAsia="en-US"/>
        </w:rPr>
        <w:t>- Гидротехнические сооружения</w:t>
      </w:r>
      <w:r>
        <w:rPr>
          <w:rFonts w:ascii="Times New Roman" w:hAnsi="Times New Roman" w:eastAsia="Calibri"/>
          <w:bCs/>
          <w:sz w:val="26"/>
          <w:szCs w:val="26"/>
          <w:lang w:eastAsia="en-US"/>
        </w:rPr>
        <w:t xml:space="preserve"> (размещение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сооружений).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firstLine="0"/>
        <w:rPr>
          <w:rFonts w:ascii="Times New Roman" w:hAnsi="Times New Roman" w:eastAsia="Arial Unicode MS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lang w:eastAsia="en-US"/>
        </w:rPr>
        <w:t>*Примечание</w:t>
      </w:r>
    </w:p>
    <w:p>
      <w:pPr>
        <w:numPr>
          <w:ilvl w:val="0"/>
          <w:numId w:val="4"/>
        </w:numPr>
        <w:tabs>
          <w:tab w:val="left" w:pos="432"/>
        </w:tabs>
        <w:spacing w:before="0" w:after="0"/>
        <w:ind w:firstLine="0"/>
        <w:rPr>
          <w:rFonts w:ascii="Times New Roman" w:hAnsi="Times New Roman" w:eastAsia="Calibri"/>
          <w:bCs/>
          <w:sz w:val="26"/>
          <w:szCs w:val="26"/>
          <w:lang w:eastAsia="en-US"/>
        </w:rPr>
      </w:pPr>
      <w:r>
        <w:rPr>
          <w:rFonts w:ascii="Times New Roman" w:hAnsi="Times New Roman" w:eastAsia="Calibri"/>
          <w:bCs/>
          <w:sz w:val="26"/>
          <w:szCs w:val="26"/>
          <w:lang w:eastAsia="en-US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spacing w:before="0"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Предельные параметры земельных участков и предельные параметры разрешенного строительства, реконструкции объектов капитального строительства </w:t>
      </w:r>
    </w:p>
    <w:p>
      <w:pPr>
        <w:spacing w:before="0" w:after="0"/>
        <w:rPr>
          <w:rFonts w:ascii="Times New Roman" w:hAnsi="Times New Roman"/>
          <w:bCs/>
          <w:sz w:val="26"/>
          <w:szCs w:val="26"/>
        </w:rPr>
      </w:pPr>
    </w:p>
    <w:tbl>
      <w:tblPr>
        <w:tblStyle w:val="6"/>
        <w:tblW w:w="97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993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Виды параметров и единицы измерения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Предельные (минимальные и (или) максимальные размеры земельных участков и предельные параметры, в том числе их площадь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-294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Минимальный размер земельного участка (для вновь образуемых земельных участков)</w:t>
            </w:r>
          </w:p>
          <w:p>
            <w:pPr>
              <w:tabs>
                <w:tab w:val="right" w:pos="-294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кв.м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-294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Максимальный размер земельного участка (для вновь образуемых земельных участков)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кв.м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 в пределах участков</w:t>
            </w:r>
          </w:p>
        </w:tc>
        <w:tc>
          <w:tcPr>
            <w:tcW w:w="4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Максимальный процент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4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Минимальный отступ от передней 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а) в соответствии со сложившейся линией застройки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б) 5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–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 иных случаях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Минимальные отступы строений от боковых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а) 1 - при обязательном наличии брандмауэрной стены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б) 3 - в иных случаях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в) 5-в новой застройке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г) при подготовке градостроительного плана в сложившейся застройке, отступы от боковых границ земельного участка обязаны обеспечивать противопожарный разрыв между капитальными строениями не менее 6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Минимальный отступ строений от задней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а) 3 м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б) 5 – в иных случаях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Минимальный отступ от границ соседнего земельного участка до бани, гаража и других построек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1- при соблюдении требований инсоляции и освещенности в соответствии с противопожарными и санитарными требованиями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Минимальный отступ от границ соседнего земельного участка до постройки для содержания скота и птицы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(до конька крыши)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bottom w:val="single" w:color="auto" w:sz="4" w:space="1"/>
                <w:between w:val="single" w:color="auto" w:sz="4" w:space="1"/>
              </w:pBd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Кол.</w:t>
            </w:r>
          </w:p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эт.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bottom w:val="single" w:color="auto" w:sz="4" w:space="1"/>
              </w:pBd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Максимальная высота стен строений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Максимальная высота ограждений земельных участков от уровня земли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Рекомендуемый минимальный процент озеленения в границах земельного участка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493"/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567"/>
              </w:tabs>
              <w:snapToGrid w:val="0"/>
              <w:spacing w:before="0" w:after="0"/>
              <w:jc w:val="center"/>
              <w:rPr>
                <w:rFonts w:ascii="Times New Roman" w:hAnsi="Times New Roman" w:eastAsia="Arial Unicode MS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</w:tr>
    </w:tbl>
    <w:p>
      <w:pPr>
        <w:numPr>
          <w:ilvl w:val="0"/>
          <w:numId w:val="4"/>
        </w:numPr>
        <w:tabs>
          <w:tab w:val="left" w:pos="432"/>
        </w:tabs>
        <w:spacing w:before="0" w:after="0"/>
        <w:ind w:firstLine="0"/>
        <w:rPr>
          <w:rFonts w:ascii="Times New Roman" w:hAnsi="Times New Roman" w:eastAsia="Arial Unicode MS"/>
          <w:bCs/>
          <w:sz w:val="26"/>
          <w:szCs w:val="26"/>
          <w:lang w:eastAsia="en-US" w:bidi="en-US"/>
        </w:rPr>
      </w:pPr>
      <w:r>
        <w:rPr>
          <w:rFonts w:ascii="Times New Roman" w:hAnsi="Times New Roman" w:eastAsia="Calibri"/>
          <w:bCs/>
          <w:sz w:val="26"/>
          <w:szCs w:val="26"/>
          <w:lang w:eastAsia="en-US"/>
        </w:rPr>
        <w:t>Установлены ограничения в использовании земельных участков (статья 27 Земельного кодекса РФ).</w:t>
      </w:r>
    </w:p>
    <w:p>
      <w:pPr>
        <w:ind w:firstLine="42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Примечания к таблице 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Примечание 1.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Предельные параметры разрешенного строительства применительно к видам (объектам) использования недвижимости нежилого характера должны соответствовать представленным в таблице показателям.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Примечание 2.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-имеется взаимное согласие владельцев земельных участков на указанные отклонения,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-расстояния между основными строениями (жилыми домами) равны или превышают 6 метров, а расстояния между вспомогательными строениями (хозяйственными постройками, гаражами и проч.) равны или превышают 2 метра (допускается также блокирование вспомогательных строений по границам земельных участков, при условии устройства брандмауэрных стен).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Примечание 3. </w:t>
      </w:r>
    </w:p>
    <w:p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Допускаются отклонения от представленных в таблице параметров в пределах 10%.»</w:t>
      </w:r>
    </w:p>
    <w:p>
      <w:pPr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>
      <w:pgSz w:w="11906" w:h="16838"/>
      <w:pgMar w:top="850" w:right="850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2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4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bullet"/>
      <w:pStyle w:val="10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  <w:sz w:val="24"/>
      </w:rPr>
    </w:lvl>
  </w:abstractNum>
  <w:abstractNum w:abstractNumId="2">
    <w:nsid w:val="16282E4F"/>
    <w:multiLevelType w:val="multilevel"/>
    <w:tmpl w:val="16282E4F"/>
    <w:lvl w:ilvl="0" w:tentative="0">
      <w:start w:val="1"/>
      <w:numFmt w:val="decimal"/>
      <w:pStyle w:val="7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1DC0"/>
    <w:rsid w:val="08377C87"/>
    <w:rsid w:val="08736ABE"/>
    <w:rsid w:val="120E0000"/>
    <w:rsid w:val="1D6332C3"/>
    <w:rsid w:val="246D317A"/>
    <w:rsid w:val="3A917995"/>
    <w:rsid w:val="423179A5"/>
    <w:rsid w:val="45CE10F6"/>
    <w:rsid w:val="49F72B69"/>
    <w:rsid w:val="4EB81DC0"/>
    <w:rsid w:val="4F2F58BB"/>
    <w:rsid w:val="51C06524"/>
    <w:rsid w:val="5B925F49"/>
    <w:rsid w:val="5F0F7504"/>
    <w:rsid w:val="60C73B0B"/>
    <w:rsid w:val="66F97F7F"/>
    <w:rsid w:val="6FED7A62"/>
    <w:rsid w:val="785821FF"/>
    <w:rsid w:val="7C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before="280" w:after="280"/>
      <w:ind w:firstLine="709"/>
      <w:jc w:val="both"/>
    </w:pPr>
    <w:rPr>
      <w:rFonts w:ascii="Arial" w:hAnsi="Arial" w:eastAsia="Times New Roman" w:cs="Times New Roman"/>
      <w:lang w:val="ru-RU" w:eastAsia="ar-SA" w:bidi="ar-SA"/>
    </w:rPr>
  </w:style>
  <w:style w:type="paragraph" w:styleId="2">
    <w:name w:val="heading 5"/>
    <w:basedOn w:val="1"/>
    <w:next w:val="3"/>
    <w:qFormat/>
    <w:uiPriority w:val="0"/>
    <w:pPr>
      <w:numPr>
        <w:ilvl w:val="4"/>
        <w:numId w:val="1"/>
      </w:numPr>
      <w:outlineLvl w:val="4"/>
    </w:pPr>
    <w:rPr>
      <w:b/>
      <w:bCs/>
      <w:i/>
    </w:rPr>
  </w:style>
  <w:style w:type="paragraph" w:styleId="4">
    <w:name w:val="heading 6"/>
    <w:basedOn w:val="1"/>
    <w:next w:val="1"/>
    <w:qFormat/>
    <w:uiPriority w:val="0"/>
    <w:pPr>
      <w:numPr>
        <w:ilvl w:val="5"/>
        <w:numId w:val="1"/>
      </w:numPr>
      <w:outlineLvl w:val="5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pPr>
      <w:spacing w:before="280" w:after="120"/>
    </w:pPr>
  </w:style>
  <w:style w:type="paragraph" w:styleId="7">
    <w:name w:val="Title"/>
    <w:basedOn w:val="1"/>
    <w:next w:val="8"/>
    <w:qFormat/>
    <w:uiPriority w:val="0"/>
    <w:pPr>
      <w:numPr>
        <w:ilvl w:val="0"/>
        <w:numId w:val="2"/>
      </w:numPr>
      <w:spacing w:before="0" w:after="0"/>
      <w:ind w:left="1068"/>
    </w:pPr>
    <w:rPr>
      <w:rFonts w:ascii="Times New Roman" w:hAnsi="Times New Roman"/>
      <w:bCs/>
      <w:iCs/>
      <w:sz w:val="26"/>
    </w:rPr>
  </w:style>
  <w:style w:type="paragraph" w:styleId="8">
    <w:name w:val="Subtitle"/>
    <w:basedOn w:val="9"/>
    <w:next w:val="3"/>
    <w:qFormat/>
    <w:uiPriority w:val="11"/>
    <w:pPr>
      <w:jc w:val="center"/>
    </w:pPr>
    <w:rPr>
      <w:rFonts w:cs="Times New Roman"/>
      <w:i/>
      <w:iCs/>
    </w:rPr>
  </w:style>
  <w:style w:type="paragraph" w:customStyle="1" w:styleId="9">
    <w:name w:val="Заголовок1"/>
    <w:basedOn w:val="1"/>
    <w:next w:val="3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0">
    <w:name w:val="List"/>
    <w:basedOn w:val="1"/>
    <w:qFormat/>
    <w:uiPriority w:val="0"/>
    <w:pPr>
      <w:numPr>
        <w:ilvl w:val="0"/>
        <w:numId w:val="3"/>
      </w:numPr>
    </w:p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2">
    <w:name w:val="List Paragraph"/>
    <w:basedOn w:val="1"/>
    <w:qFormat/>
    <w:uiPriority w:val="34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2023-11-07T04:21:00Z</dcterms:created>
  <dc:creator>104-kab</dc:creator>
  <cp:lastModifiedBy>104-kab</cp:lastModifiedBy>
  <dcterms:modified xsi:type="dcterms:W3CDTF">2023-11-07T05:00:51Z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D9EC02F5305244BB9D8D6433B6B0A62C_13</vt:lpwstr>
  </property>
</Properties>
</file>