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18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февраля 2026</w:t>
      </w:r>
      <w:r>
        <w:rPr>
          <w:iCs/>
        </w:rPr>
        <w:t xml:space="preserve"> г.</w:t>
      </w:r>
    </w:p>
    <w:p w14:paraId="67EF422C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U22000005040000000115-1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аренды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 xml:space="preserve">18.02.2026 </w:t>
            </w:r>
            <w:r>
              <w:rPr>
                <w:rFonts w:hint="default"/>
                <w:lang w:val="ru-RU"/>
              </w:rPr>
              <w:t>09</w:t>
            </w:r>
            <w:r>
              <w:rPr>
                <w:lang w:val="en-US"/>
              </w:rPr>
              <w:t>:54:25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2D590392">
      <w:pPr>
        <w:jc w:val="both"/>
        <w:rPr>
          <w:i/>
          <w:sz w:val="18"/>
          <w:szCs w:val="18"/>
        </w:rPr>
      </w:pPr>
    </w:p>
    <w:p w14:paraId="7A8756C5">
      <w:pPr>
        <w:jc w:val="both"/>
      </w:pPr>
      <w:r>
        <w:t>4. Лоты аукциона:</w:t>
      </w:r>
    </w:p>
    <w:p w14:paraId="5CA89197">
      <w:pPr>
        <w:jc w:val="both"/>
      </w:pPr>
    </w:p>
    <w:tbl>
      <w:tblPr>
        <w:tblStyle w:val="6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5"/>
        <w:gridCol w:w="2010"/>
        <w:gridCol w:w="1530"/>
        <w:gridCol w:w="1817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4465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010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530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1817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465" w:type="dxa"/>
            <w:vAlign w:val="top"/>
          </w:tcPr>
          <w:p w14:paraId="22A5B93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0401101:379, 1358 кв.м., </w:t>
            </w:r>
            <w:r>
              <w:rPr>
                <w:rFonts w:ascii="Times New Roman" w:hAnsi="Times New Roman" w:eastAsia="Times New Roman" w:cs="Times New Roman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строительный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номер 107 в соответствии с проектом планировки северной части г. Кыштыма, д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ля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индивидуального жилищного строительства</w:t>
            </w:r>
          </w:p>
        </w:tc>
        <w:tc>
          <w:tcPr>
            <w:tcW w:w="2010" w:type="dxa"/>
          </w:tcPr>
          <w:p w14:paraId="4ABEDADA">
            <w:pPr>
              <w:jc w:val="right"/>
            </w:pPr>
            <w:r>
              <w:t>26 772,70 руб.</w:t>
            </w:r>
          </w:p>
        </w:tc>
        <w:tc>
          <w:tcPr>
            <w:tcW w:w="1530" w:type="dxa"/>
          </w:tcPr>
          <w:p w14:paraId="0A5C7DB7">
            <w:pPr>
              <w:jc w:val="center"/>
            </w:pPr>
            <w:r>
              <w:t>5 354,54 руб.</w:t>
            </w:r>
          </w:p>
        </w:tc>
        <w:tc>
          <w:tcPr>
            <w:tcW w:w="1817" w:type="dxa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Не состоялся- 0 заявок</w:t>
            </w:r>
          </w:p>
        </w:tc>
      </w:tr>
      <w:tr w14:paraId="66A7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465" w:type="dxa"/>
            <w:vAlign w:val="top"/>
          </w:tcPr>
          <w:p w14:paraId="254FC944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0401101:378, 1224 кв.м., </w:t>
            </w:r>
            <w:r>
              <w:rPr>
                <w:rFonts w:ascii="Times New Roman" w:hAnsi="Times New Roman" w:eastAsia="Times New Roman" w:cs="Times New Roman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строительный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номер 106 в соответствии с проектом планировки северной части г. Кыштыма, д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ля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индивидуального жилищного строительства</w:t>
            </w:r>
          </w:p>
        </w:tc>
        <w:tc>
          <w:tcPr>
            <w:tcW w:w="2010" w:type="dxa"/>
          </w:tcPr>
          <w:p w14:paraId="57D9C526">
            <w:pPr>
              <w:jc w:val="right"/>
            </w:pPr>
            <w:r>
              <w:t>24 130,92 руб.</w:t>
            </w:r>
          </w:p>
        </w:tc>
        <w:tc>
          <w:tcPr>
            <w:tcW w:w="1530" w:type="dxa"/>
          </w:tcPr>
          <w:p w14:paraId="232D8D44">
            <w:pPr>
              <w:jc w:val="center"/>
            </w:pPr>
            <w:r>
              <w:t>4 826,18 руб.</w:t>
            </w:r>
          </w:p>
        </w:tc>
        <w:tc>
          <w:tcPr>
            <w:tcW w:w="1817" w:type="dxa"/>
          </w:tcPr>
          <w:p w14:paraId="3052BEBB">
            <w:pPr>
              <w:jc w:val="center"/>
            </w:pPr>
            <w:r>
              <w:t>Не состоялся- 1 заявка</w:t>
            </w:r>
          </w:p>
        </w:tc>
      </w:tr>
      <w:tr w14:paraId="79BE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465" w:type="dxa"/>
            <w:vAlign w:val="top"/>
          </w:tcPr>
          <w:p w14:paraId="41FA6CCB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0401101:377, 1696 кв.м., </w:t>
            </w:r>
            <w:r>
              <w:rPr>
                <w:rFonts w:ascii="Times New Roman" w:hAnsi="Times New Roman" w:eastAsia="Times New Roman" w:cs="Times New Roman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строительный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номер 108 в соответствии с проектом планировки северной части г. Кыштыма, д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ля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индивидуального жилищного строительства</w:t>
            </w:r>
          </w:p>
        </w:tc>
        <w:tc>
          <w:tcPr>
            <w:tcW w:w="2010" w:type="dxa"/>
          </w:tcPr>
          <w:p w14:paraId="47F2B24A">
            <w:pPr>
              <w:jc w:val="right"/>
            </w:pPr>
            <w:r>
              <w:t>32 766,72 руб.</w:t>
            </w:r>
          </w:p>
        </w:tc>
        <w:tc>
          <w:tcPr>
            <w:tcW w:w="1530" w:type="dxa"/>
          </w:tcPr>
          <w:p w14:paraId="19592F40">
            <w:pPr>
              <w:jc w:val="center"/>
            </w:pPr>
            <w:r>
              <w:t>6 553,34 руб.</w:t>
            </w:r>
          </w:p>
        </w:tc>
        <w:tc>
          <w:tcPr>
            <w:tcW w:w="1817" w:type="dxa"/>
          </w:tcPr>
          <w:p w14:paraId="4D2F7EDE">
            <w:pPr>
              <w:jc w:val="center"/>
            </w:pPr>
            <w:r>
              <w:t>Не состоялся- 0 заявок</w:t>
            </w:r>
          </w:p>
        </w:tc>
      </w:tr>
      <w:tr w14:paraId="0281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465" w:type="dxa"/>
            <w:vAlign w:val="top"/>
          </w:tcPr>
          <w:p w14:paraId="1408E12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0401101:380, 1680 кв.м., </w:t>
            </w:r>
            <w:r>
              <w:rPr>
                <w:rFonts w:ascii="Times New Roman" w:hAnsi="Times New Roman" w:eastAsia="Times New Roman" w:cs="Times New Roman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строительный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номер 109 в соответствии с проектом планировки северной части г. Кыштыма, д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ля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индивидуального жилищного строительства</w:t>
            </w:r>
          </w:p>
        </w:tc>
        <w:tc>
          <w:tcPr>
            <w:tcW w:w="2010" w:type="dxa"/>
          </w:tcPr>
          <w:p w14:paraId="6C503E8C">
            <w:pPr>
              <w:jc w:val="right"/>
            </w:pPr>
            <w:r>
              <w:t>32 457,60 руб.</w:t>
            </w:r>
          </w:p>
        </w:tc>
        <w:tc>
          <w:tcPr>
            <w:tcW w:w="1530" w:type="dxa"/>
          </w:tcPr>
          <w:p w14:paraId="7B06290C">
            <w:pPr>
              <w:jc w:val="center"/>
            </w:pPr>
            <w:r>
              <w:t>6 491,52 руб.</w:t>
            </w:r>
          </w:p>
          <w:bookmarkEnd w:id="1"/>
          <w:bookmarkEnd w:id="2"/>
        </w:tc>
        <w:tc>
          <w:tcPr>
            <w:tcW w:w="1817" w:type="dxa"/>
          </w:tcPr>
          <w:p w14:paraId="58490088">
            <w:pPr>
              <w:jc w:val="center"/>
            </w:pPr>
            <w:r>
              <w:t>Не состоялся- 1 заявка</w:t>
            </w:r>
          </w:p>
        </w:tc>
      </w:tr>
    </w:tbl>
    <w:p w14:paraId="7EE6BB52">
      <w:pPr>
        <w:shd w:val="clear" w:color="auto" w:fill="FFFFFF"/>
        <w:tabs>
          <w:tab w:val="left" w:pos="6795"/>
        </w:tabs>
        <w:jc w:val="both"/>
      </w:pPr>
    </w:p>
    <w:p w14:paraId="5BB3581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отсутствует.</w:t>
      </w:r>
    </w:p>
    <w:p w14:paraId="5ECEEBBE">
      <w:pPr>
        <w:shd w:val="clear" w:color="auto" w:fill="FFFFFF"/>
        <w:tabs>
          <w:tab w:val="left" w:pos="6795"/>
        </w:tabs>
        <w:jc w:val="both"/>
      </w:pPr>
    </w:p>
    <w:p w14:paraId="4811739E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№  2200000504000000011</w:t>
      </w:r>
      <w:r>
        <w:rPr>
          <w:rFonts w:hint="default"/>
          <w:lang w:val="ru-RU"/>
        </w:rPr>
        <w:t>5</w:t>
      </w:r>
      <w:r>
        <w:t>.</w:t>
      </w:r>
    </w:p>
    <w:p w14:paraId="2BD367E1">
      <w:pPr>
        <w:jc w:val="both"/>
      </w:pPr>
    </w:p>
    <w:p w14:paraId="24E6B822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219D1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8BB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EEABBB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14:paraId="20E8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B4DFC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4E9855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096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1A3FD9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57EE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2A969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81C03F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4F6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054E36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70D3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9A0A2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6B7513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017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D62130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26DA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6D42A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09A031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C66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493287C8">
            <w:pPr>
              <w:jc w:val="center"/>
              <w:rPr>
                <w:sz w:val="15"/>
                <w:szCs w:val="15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808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74E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14:paraId="792D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E46B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750A86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E2E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DB34C9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B1A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C3DF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732E58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B4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24F518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54BE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D2B4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05094D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E26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D0F1C6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E5A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5BF7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60489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8999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EAA80D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3C29024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12EC4D2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7FDDC3DF">
            <w:pPr>
              <w:jc w:val="center"/>
              <w:rPr>
                <w:sz w:val="15"/>
                <w:szCs w:val="15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DF42E84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87BDAEC">
      <w:pPr>
        <w:jc w:val="both"/>
        <w:rPr>
          <w:bCs/>
        </w:rPr>
      </w:pPr>
    </w:p>
    <w:p w14:paraId="6A4808E8">
      <w:pPr>
        <w:numPr>
          <w:ilvl w:val="0"/>
          <w:numId w:val="2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7424C1D7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1"/>
        <w:gridCol w:w="2491"/>
        <w:gridCol w:w="2491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E9F7F5D">
            <w:pPr>
              <w:jc w:val="right"/>
            </w:pPr>
            <w:r>
              <w:t>24 130,92 руб.</w:t>
            </w:r>
          </w:p>
        </w:tc>
        <w:tc>
          <w:tcPr>
            <w:tcW w:w="1250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.Е.Л.</w:t>
            </w:r>
          </w:p>
        </w:tc>
        <w:tc>
          <w:tcPr>
            <w:tcW w:w="1250" w:type="pct"/>
          </w:tcPr>
          <w:p w14:paraId="7552A392">
            <w:pPr>
              <w:jc w:val="center"/>
              <w:rPr>
                <w:highlight w:val="cyan"/>
              </w:rPr>
            </w:pPr>
            <w:r>
              <w:t>Россия</w:t>
            </w:r>
          </w:p>
        </w:tc>
      </w:tr>
      <w:tr w14:paraId="43DD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1F44AC9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2B189E5F">
            <w:pPr>
              <w:jc w:val="right"/>
            </w:pPr>
            <w:r>
              <w:t>32 457,60 руб.</w:t>
            </w:r>
          </w:p>
        </w:tc>
        <w:tc>
          <w:tcPr>
            <w:tcW w:w="1250" w:type="pct"/>
            <w:shd w:val="clear" w:color="auto" w:fill="auto"/>
          </w:tcPr>
          <w:p w14:paraId="7BF7EFE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250" w:type="pct"/>
          </w:tcPr>
          <w:p w14:paraId="239528A0">
            <w:pPr>
              <w:jc w:val="center"/>
              <w:rPr>
                <w:highlight w:val="cyan"/>
              </w:rPr>
            </w:pPr>
            <w:r>
              <w:t>Россия</w:t>
            </w:r>
          </w:p>
        </w:tc>
      </w:tr>
    </w:tbl>
    <w:p w14:paraId="76735D6F">
      <w:pPr>
        <w:numPr>
          <w:ilvl w:val="0"/>
          <w:numId w:val="2"/>
        </w:numPr>
        <w:shd w:val="clear" w:color="auto" w:fill="FFFFFF"/>
        <w:spacing w:before="134"/>
        <w:ind w:left="0" w:leftChars="0" w:firstLine="0" w:firstLineChars="0"/>
        <w:jc w:val="both"/>
      </w:pPr>
      <w:r>
        <w:t>По результатам рассмотрения заявок на участие в аукционе на право заключения договора аренды земельного участка в электронной форме приняты следующие решения:</w:t>
      </w:r>
    </w:p>
    <w:p w14:paraId="1D38815F">
      <w:pPr>
        <w:numPr>
          <w:numId w:val="0"/>
        </w:numPr>
        <w:shd w:val="clear" w:color="auto" w:fill="FFFFFF"/>
        <w:spacing w:before="134"/>
        <w:ind w:leftChars="0"/>
        <w:jc w:val="both"/>
      </w:pPr>
      <w:bookmarkStart w:id="3" w:name="_GoBack"/>
      <w:bookmarkEnd w:id="3"/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0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000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00" w:type="pct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6F2C6CF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.Е.Л.</w:t>
            </w:r>
          </w:p>
        </w:tc>
        <w:tc>
          <w:tcPr>
            <w:tcW w:w="1000" w:type="pct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568807/767410</w:t>
            </w:r>
          </w:p>
        </w:tc>
        <w:tc>
          <w:tcPr>
            <w:tcW w:w="1000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16.02.2026 13:20:24</w:t>
            </w:r>
          </w:p>
        </w:tc>
        <w:tc>
          <w:tcPr>
            <w:tcW w:w="1000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6FD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00" w:type="pct"/>
          </w:tcPr>
          <w:p w14:paraId="3D6486D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7608910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00" w:type="pct"/>
            <w:shd w:val="clear" w:color="auto" w:fill="auto"/>
          </w:tcPr>
          <w:p w14:paraId="7333A4A1">
            <w:pPr>
              <w:jc w:val="right"/>
            </w:pPr>
            <w:r>
              <w:rPr>
                <w:lang w:val="en-US"/>
              </w:rPr>
              <w:t>569172/767908</w:t>
            </w:r>
          </w:p>
        </w:tc>
        <w:tc>
          <w:tcPr>
            <w:tcW w:w="1000" w:type="pct"/>
          </w:tcPr>
          <w:p w14:paraId="064B2F4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15.02.2026 12:00:18</w:t>
            </w:r>
          </w:p>
        </w:tc>
        <w:tc>
          <w:tcPr>
            <w:tcW w:w="1000" w:type="pct"/>
          </w:tcPr>
          <w:p w14:paraId="265DC6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27C0D33C">
      <w:pPr>
        <w:jc w:val="both"/>
      </w:pPr>
    </w:p>
    <w:p w14:paraId="30130EC4">
      <w:pPr>
        <w:jc w:val="both"/>
        <w:rPr>
          <w:rFonts w:hint="default"/>
          <w:lang w:val="ru-RU"/>
        </w:rPr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отсутствуют.</w:t>
      </w: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1, № 3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  <w:p w14:paraId="052F70D2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 лоты № 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en-US"/>
              </w:rPr>
              <w:t xml:space="preserve">, № 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en-US"/>
              </w:rPr>
              <w:t xml:space="preserve"> на участие в аукционе в электронной форме было подано </w:t>
            </w: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одной</w:t>
            </w:r>
            <w:r>
              <w:rPr>
                <w:lang w:val="en-US"/>
              </w:rPr>
              <w:t xml:space="preserve"> заявк</w:t>
            </w:r>
            <w:r>
              <w:rPr>
                <w:lang w:val="ru-RU"/>
              </w:rPr>
              <w:t>е</w:t>
            </w:r>
            <w:r>
              <w:rPr>
                <w:lang w:val="en-US"/>
              </w:rPr>
              <w:t>. Аукцион по данным лотам в электронной форме признается несостоявшимся.</w:t>
            </w:r>
          </w:p>
        </w:tc>
      </w:tr>
      <w:tr w14:paraId="0E28B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FAE7637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5223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B5C425A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97908B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BD231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BE7A86B">
            <w:r>
              <w:t>Симонова Т.С.</w:t>
            </w:r>
          </w:p>
        </w:tc>
      </w:tr>
      <w:tr w14:paraId="1325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A6DD9A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9C1625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229945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990EFD">
            <w:r>
              <w:t>Никитина Э.А.</w:t>
            </w:r>
          </w:p>
        </w:tc>
      </w:tr>
      <w:tr w14:paraId="0901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52B9BA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757517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8A9359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9130070">
            <w:r>
              <w:t>Русак В.В.</w:t>
            </w:r>
          </w:p>
        </w:tc>
      </w:tr>
      <w:tr w14:paraId="5373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D79408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4AE892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CC14CA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BD0CFB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619F3E0E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0BC698"/>
    <w:multiLevelType w:val="singleLevel"/>
    <w:tmpl w:val="640BC69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1A751A37"/>
    <w:rsid w:val="712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3</Pages>
  <Words>566</Words>
  <Characters>3232</Characters>
  <Lines>26</Lines>
  <Paragraphs>7</Paragraphs>
  <TotalTime>12</TotalTime>
  <ScaleCrop>false</ScaleCrop>
  <LinksUpToDate>false</LinksUpToDate>
  <CharactersWithSpaces>3791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2026-02-18T04:01:00Z</cp:lastPrinted>
  <dcterms:modified xsi:type="dcterms:W3CDTF">2026-02-18T04:42:37Z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62E4314FB00149D98E4172297F6CA8A5_13</vt:lpwstr>
  </property>
</Properties>
</file>