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C5" w:rsidRDefault="00A64706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A64706" w:rsidRPr="004825AD" w:rsidRDefault="00AF5EFD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526EC5" w:rsidRDefault="00526EC5">
      <w:pPr>
        <w:rPr>
          <w:sz w:val="28"/>
          <w:szCs w:val="28"/>
        </w:rPr>
      </w:pPr>
    </w:p>
    <w:p w:rsidR="00526EC5" w:rsidRPr="002F77A3" w:rsidRDefault="00526EC5">
      <w:pPr>
        <w:rPr>
          <w:sz w:val="28"/>
          <w:szCs w:val="28"/>
        </w:rPr>
      </w:pPr>
    </w:p>
    <w:p w:rsidR="00526EC5" w:rsidRPr="002F77A3" w:rsidRDefault="002F77A3">
      <w:pPr>
        <w:rPr>
          <w:bCs/>
          <w:sz w:val="28"/>
          <w:szCs w:val="28"/>
        </w:rPr>
      </w:pPr>
      <w:r w:rsidRPr="002F77A3">
        <w:rPr>
          <w:bCs/>
          <w:sz w:val="28"/>
          <w:szCs w:val="28"/>
        </w:rPr>
        <w:t xml:space="preserve">№2570 от 25.09.2014г. </w:t>
      </w:r>
      <w:r w:rsidR="00526EC5" w:rsidRPr="002F77A3">
        <w:rPr>
          <w:bCs/>
          <w:sz w:val="28"/>
          <w:szCs w:val="28"/>
        </w:rPr>
        <w:t xml:space="preserve"> </w:t>
      </w:r>
    </w:p>
    <w:p w:rsidR="00526EC5" w:rsidRDefault="00526EC5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дополнения в постановление</w:t>
      </w:r>
    </w:p>
    <w:p w:rsidR="00526EC5" w:rsidRDefault="00526EC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Кыштымского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26EC5" w:rsidRDefault="008F0AA4">
      <w:pPr>
        <w:rPr>
          <w:sz w:val="28"/>
          <w:szCs w:val="28"/>
        </w:rPr>
      </w:pPr>
      <w:r>
        <w:rPr>
          <w:sz w:val="28"/>
          <w:szCs w:val="28"/>
        </w:rPr>
        <w:t>округа от 19.04.2011г. №1074 «</w:t>
      </w:r>
      <w:r w:rsidR="00526EC5">
        <w:rPr>
          <w:sz w:val="28"/>
          <w:szCs w:val="28"/>
        </w:rPr>
        <w:t>Об утверждении</w:t>
      </w:r>
    </w:p>
    <w:p w:rsidR="00526EC5" w:rsidRDefault="00526EC5">
      <w:pPr>
        <w:rPr>
          <w:sz w:val="28"/>
          <w:szCs w:val="28"/>
        </w:rPr>
      </w:pPr>
      <w:r>
        <w:rPr>
          <w:sz w:val="28"/>
          <w:szCs w:val="28"/>
        </w:rPr>
        <w:t xml:space="preserve">Схемы 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 </w:t>
      </w:r>
    </w:p>
    <w:p w:rsidR="00526EC5" w:rsidRDefault="00526EC5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на территории Кыштымского </w:t>
      </w:r>
    </w:p>
    <w:p w:rsidR="00526EC5" w:rsidRDefault="008F0AA4">
      <w:pPr>
        <w:rPr>
          <w:sz w:val="28"/>
          <w:szCs w:val="28"/>
        </w:rPr>
      </w:pPr>
      <w:r>
        <w:rPr>
          <w:sz w:val="28"/>
          <w:szCs w:val="28"/>
        </w:rPr>
        <w:t>городского округа»</w:t>
      </w:r>
    </w:p>
    <w:p w:rsidR="008F0AA4" w:rsidRDefault="008F0AA4">
      <w:pPr>
        <w:rPr>
          <w:sz w:val="28"/>
          <w:szCs w:val="28"/>
        </w:rPr>
      </w:pPr>
    </w:p>
    <w:p w:rsidR="00526EC5" w:rsidRDefault="00526EC5">
      <w:pPr>
        <w:rPr>
          <w:sz w:val="28"/>
          <w:szCs w:val="28"/>
        </w:rPr>
      </w:pPr>
    </w:p>
    <w:p w:rsidR="008D17E3" w:rsidRDefault="00E10C5B" w:rsidP="008F0AA4">
      <w:pPr>
        <w:ind w:firstLine="720"/>
        <w:jc w:val="both"/>
        <w:rPr>
          <w:sz w:val="28"/>
        </w:rPr>
      </w:pPr>
      <w:r>
        <w:rPr>
          <w:sz w:val="28"/>
        </w:rPr>
        <w:t xml:space="preserve">Учитывая </w:t>
      </w:r>
      <w:r w:rsidR="008D17E3">
        <w:rPr>
          <w:sz w:val="28"/>
        </w:rPr>
        <w:t>заявление</w:t>
      </w:r>
      <w:r>
        <w:rPr>
          <w:sz w:val="28"/>
        </w:rPr>
        <w:t xml:space="preserve"> </w:t>
      </w:r>
      <w:r w:rsidR="008D17E3">
        <w:rPr>
          <w:sz w:val="28"/>
        </w:rPr>
        <w:t xml:space="preserve"> ОАО «</w:t>
      </w:r>
      <w:proofErr w:type="spellStart"/>
      <w:r w:rsidR="008D17E3">
        <w:rPr>
          <w:sz w:val="28"/>
        </w:rPr>
        <w:t>Роспечать</w:t>
      </w:r>
      <w:proofErr w:type="spellEnd"/>
      <w:r w:rsidR="008D17E3">
        <w:rPr>
          <w:sz w:val="28"/>
        </w:rPr>
        <w:t xml:space="preserve">» </w:t>
      </w:r>
      <w:r w:rsidR="008F0AA4">
        <w:rPr>
          <w:sz w:val="28"/>
        </w:rPr>
        <w:t xml:space="preserve"> </w:t>
      </w:r>
      <w:r w:rsidR="008D17E3">
        <w:rPr>
          <w:sz w:val="28"/>
        </w:rPr>
        <w:t>о предоставлении земельного участка</w:t>
      </w:r>
      <w:r>
        <w:rPr>
          <w:sz w:val="28"/>
        </w:rPr>
        <w:t xml:space="preserve"> от</w:t>
      </w:r>
      <w:r w:rsidR="008F0AA4">
        <w:rPr>
          <w:sz w:val="28"/>
        </w:rPr>
        <w:t xml:space="preserve"> 19.08.2014 г.</w:t>
      </w:r>
      <w:r>
        <w:rPr>
          <w:sz w:val="28"/>
        </w:rPr>
        <w:t>,</w:t>
      </w:r>
      <w:r w:rsidR="008D17E3">
        <w:rPr>
          <w:sz w:val="28"/>
        </w:rPr>
        <w:t xml:space="preserve"> в связи с изменением типа нестационарн</w:t>
      </w:r>
      <w:r>
        <w:rPr>
          <w:sz w:val="28"/>
        </w:rPr>
        <w:t>ых</w:t>
      </w:r>
      <w:r w:rsidR="008D17E3">
        <w:rPr>
          <w:sz w:val="28"/>
        </w:rPr>
        <w:t xml:space="preserve"> торгов</w:t>
      </w:r>
      <w:r>
        <w:rPr>
          <w:sz w:val="28"/>
        </w:rPr>
        <w:t>ых</w:t>
      </w:r>
      <w:r w:rsidR="008D17E3">
        <w:rPr>
          <w:sz w:val="28"/>
        </w:rPr>
        <w:t xml:space="preserve"> объект</w:t>
      </w:r>
      <w:r>
        <w:rPr>
          <w:sz w:val="28"/>
        </w:rPr>
        <w:t>ов</w:t>
      </w:r>
      <w:r w:rsidR="008D17E3">
        <w:rPr>
          <w:sz w:val="28"/>
        </w:rPr>
        <w:t xml:space="preserve"> </w:t>
      </w:r>
      <w:r>
        <w:rPr>
          <w:sz w:val="28"/>
        </w:rPr>
        <w:t>принадлежащего ОАО «</w:t>
      </w:r>
      <w:proofErr w:type="spellStart"/>
      <w:r>
        <w:rPr>
          <w:sz w:val="28"/>
        </w:rPr>
        <w:t>Роспечать</w:t>
      </w:r>
      <w:proofErr w:type="spellEnd"/>
      <w:r>
        <w:rPr>
          <w:sz w:val="28"/>
        </w:rPr>
        <w:t xml:space="preserve">» </w:t>
      </w:r>
      <w:r w:rsidR="008D17E3">
        <w:rPr>
          <w:sz w:val="28"/>
        </w:rPr>
        <w:t>и изменением торгов</w:t>
      </w:r>
      <w:r>
        <w:rPr>
          <w:sz w:val="28"/>
        </w:rPr>
        <w:t>ых</w:t>
      </w:r>
      <w:r w:rsidR="008D17E3">
        <w:rPr>
          <w:sz w:val="28"/>
        </w:rPr>
        <w:t xml:space="preserve"> площад</w:t>
      </w:r>
      <w:r>
        <w:rPr>
          <w:sz w:val="28"/>
        </w:rPr>
        <w:t>ей</w:t>
      </w:r>
      <w:r w:rsidR="008D17E3">
        <w:rPr>
          <w:sz w:val="28"/>
        </w:rPr>
        <w:t xml:space="preserve"> </w:t>
      </w:r>
      <w:r>
        <w:rPr>
          <w:sz w:val="28"/>
        </w:rPr>
        <w:t xml:space="preserve">данных </w:t>
      </w:r>
      <w:r w:rsidR="008D17E3">
        <w:rPr>
          <w:sz w:val="28"/>
        </w:rPr>
        <w:t>торгов</w:t>
      </w:r>
      <w:r>
        <w:rPr>
          <w:sz w:val="28"/>
        </w:rPr>
        <w:t>ых</w:t>
      </w:r>
      <w:r w:rsidR="008D17E3">
        <w:rPr>
          <w:sz w:val="28"/>
        </w:rPr>
        <w:t xml:space="preserve"> объект</w:t>
      </w:r>
      <w:r>
        <w:rPr>
          <w:sz w:val="28"/>
        </w:rPr>
        <w:t>ов,</w:t>
      </w:r>
      <w:r w:rsidR="008D17E3">
        <w:rPr>
          <w:sz w:val="28"/>
        </w:rPr>
        <w:t xml:space="preserve"> в соответствии с протоколом комиссии по землепользованию и застройке  Кыштымского городского округа от 26.08.2014 г., протокол № 33</w:t>
      </w:r>
      <w:r w:rsidR="008F0AA4">
        <w:rPr>
          <w:sz w:val="28"/>
        </w:rPr>
        <w:t>,от 19.08.2014 г.,</w:t>
      </w:r>
      <w:r w:rsidR="006856C7">
        <w:rPr>
          <w:sz w:val="28"/>
        </w:rPr>
        <w:t xml:space="preserve"> </w:t>
      </w:r>
      <w:r w:rsidR="008F0AA4">
        <w:rPr>
          <w:sz w:val="28"/>
        </w:rPr>
        <w:t>протокол № 32</w:t>
      </w:r>
    </w:p>
    <w:p w:rsidR="00526EC5" w:rsidRDefault="00526EC5">
      <w:pPr>
        <w:jc w:val="both"/>
        <w:rPr>
          <w:sz w:val="28"/>
          <w:szCs w:val="28"/>
        </w:rPr>
      </w:pPr>
    </w:p>
    <w:p w:rsidR="00526EC5" w:rsidRDefault="008D17E3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EC5" w:rsidRDefault="00526EC5">
      <w:pPr>
        <w:ind w:right="-525"/>
        <w:jc w:val="both"/>
        <w:rPr>
          <w:sz w:val="28"/>
          <w:szCs w:val="28"/>
        </w:rPr>
      </w:pPr>
    </w:p>
    <w:p w:rsidR="00526EC5" w:rsidRDefault="00526EC5">
      <w:pPr>
        <w:ind w:right="-52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6EC5" w:rsidRDefault="00526EC5">
      <w:pPr>
        <w:rPr>
          <w:sz w:val="28"/>
          <w:szCs w:val="28"/>
        </w:rPr>
      </w:pPr>
    </w:p>
    <w:p w:rsidR="00526EC5" w:rsidRDefault="00E261E0">
      <w:pPr>
        <w:pStyle w:val="a6"/>
        <w:tabs>
          <w:tab w:val="clear" w:pos="426"/>
          <w:tab w:val="left" w:pos="606"/>
        </w:tabs>
        <w:ind w:left="45" w:right="0" w:firstLine="555"/>
      </w:pPr>
      <w:r>
        <w:t xml:space="preserve"> 1. </w:t>
      </w:r>
      <w:proofErr w:type="gramStart"/>
      <w:r>
        <w:t>Внести в Схему размещения нестационарных торговых объектов на территории Кыштымского городского округа, утвержденную постановлением Администрации Кыштымского городского округа от 19.04.2011 г. №1074 (в редакции постановлений от 21.06.2011 г. №1637, от 05.07.2011 г. №1828, от 27.07.2011 г. №2063, от 29.08.2011 г. №2316, от 21.11.2011 г. №3094, от 05.07.2012 г. № 1944, от 19.06.2012 г №1767, от 05.07.2012 г. № 1944, от 07.09.2012 г</w:t>
      </w:r>
      <w:proofErr w:type="gramEnd"/>
      <w:r>
        <w:t>. №</w:t>
      </w:r>
      <w:proofErr w:type="gramStart"/>
      <w:r>
        <w:t>2560, от 02.11.2012 г. № 307</w:t>
      </w:r>
      <w:r w:rsidR="006856C7">
        <w:t>5,от 30.01.2013 г. № 210,</w:t>
      </w:r>
      <w:r>
        <w:t xml:space="preserve"> от  26. 08.2013 г</w:t>
      </w:r>
      <w:r w:rsidR="006856C7">
        <w:t>. № 2385</w:t>
      </w:r>
      <w:r>
        <w:t>, от 30.09.2013 г №2704</w:t>
      </w:r>
      <w:r w:rsidR="006856C7">
        <w:t>,от 14.10.2013 г. №2823</w:t>
      </w:r>
      <w:r>
        <w:t>) следующее изменение: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0A9" w:rsidRDefault="00E850A9" w:rsidP="00427379">
      <w:pPr>
        <w:pStyle w:val="a6"/>
        <w:ind w:right="18" w:firstLine="709"/>
      </w:pPr>
      <w:r>
        <w:t xml:space="preserve">  в строке </w:t>
      </w:r>
      <w:r w:rsidR="00334BEC">
        <w:t>9,</w:t>
      </w:r>
      <w:r w:rsidR="00E10C5B">
        <w:t xml:space="preserve"> </w:t>
      </w:r>
      <w:r w:rsidR="00334BEC">
        <w:t>41,43</w:t>
      </w:r>
      <w:r>
        <w:t xml:space="preserve">  </w:t>
      </w:r>
      <w:r w:rsidR="00334BEC">
        <w:t>таблицы «Схема размещения</w:t>
      </w:r>
      <w:r w:rsidR="00427379">
        <w:t xml:space="preserve"> </w:t>
      </w:r>
      <w:r w:rsidR="00334BEC">
        <w:t>нестационарного торгового объекта на территории Кыштымского городского округа</w:t>
      </w:r>
      <w:r w:rsidR="00427379">
        <w:t xml:space="preserve">»  </w:t>
      </w:r>
      <w:r>
        <w:t>слово «ки</w:t>
      </w:r>
      <w:r w:rsidR="00334BEC">
        <w:t>оск» заменить словом «павильон»</w:t>
      </w:r>
      <w:r w:rsidR="00427379">
        <w:t>, предельная площадь нестационарного торгового объекта в строке 9 заменить на 17,5 кв.м., в стро</w:t>
      </w:r>
      <w:r w:rsidR="007D2320">
        <w:t>ке 41</w:t>
      </w:r>
      <w:r w:rsidR="00427379">
        <w:t xml:space="preserve"> заменить на 17,5 кв.м., в сроке 43 заменить на 16,0</w:t>
      </w:r>
      <w:r w:rsidR="007D2320">
        <w:t xml:space="preserve"> </w:t>
      </w:r>
      <w:r w:rsidR="00427379">
        <w:t>кв.м.</w:t>
      </w:r>
    </w:p>
    <w:p w:rsidR="00526EC5" w:rsidRDefault="008F0AA4" w:rsidP="007D2320">
      <w:pPr>
        <w:pStyle w:val="a6"/>
        <w:ind w:right="18" w:firstLine="709"/>
      </w:pPr>
      <w:r>
        <w:t xml:space="preserve"> </w:t>
      </w:r>
      <w:r w:rsidR="00427379">
        <w:t xml:space="preserve">в строке 14 таблицы «Планируемые к размещению нестационарные торговые объекты» слово киоск заменить  словом «павильон», предельная площадь нестационарного торгового объекта в строке 14 заменить </w:t>
      </w:r>
      <w:r w:rsidR="007D2320">
        <w:t>на 25,0 кв.м.</w:t>
      </w:r>
    </w:p>
    <w:p w:rsidR="00526EC5" w:rsidRDefault="00526EC5">
      <w:pPr>
        <w:tabs>
          <w:tab w:val="left" w:pos="426"/>
          <w:tab w:val="left" w:pos="1276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Управл</w:t>
      </w:r>
      <w:r w:rsidR="00341839">
        <w:rPr>
          <w:sz w:val="28"/>
          <w:szCs w:val="28"/>
        </w:rPr>
        <w:t>ению организационно-контрольной работы</w:t>
      </w:r>
      <w:r>
        <w:rPr>
          <w:sz w:val="28"/>
          <w:szCs w:val="28"/>
        </w:rPr>
        <w:t xml:space="preserve"> Администрации Кыштымского городского округа </w:t>
      </w:r>
      <w:r w:rsidR="00341839">
        <w:rPr>
          <w:sz w:val="28"/>
          <w:szCs w:val="28"/>
        </w:rPr>
        <w:t>(</w:t>
      </w:r>
      <w:r w:rsidR="007D2320">
        <w:rPr>
          <w:sz w:val="28"/>
          <w:szCs w:val="28"/>
        </w:rPr>
        <w:t>Дорошенко Л.А.</w:t>
      </w:r>
      <w:r w:rsidR="00341839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lastRenderedPageBreak/>
        <w:t>опубликование настоящего постановления в официальных средствах массовой информации.</w:t>
      </w:r>
    </w:p>
    <w:p w:rsidR="00526EC5" w:rsidRDefault="00526EC5">
      <w:pPr>
        <w:tabs>
          <w:tab w:val="left" w:pos="426"/>
          <w:tab w:val="left" w:pos="1276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Начальнику управления информатизации Администрации Кыштымского городского округа </w:t>
      </w:r>
      <w:r w:rsidR="00AF5EFD">
        <w:rPr>
          <w:sz w:val="28"/>
          <w:szCs w:val="28"/>
        </w:rPr>
        <w:t xml:space="preserve">(Зарубиной Е.А.)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Кыштымского городского округа в сети Интернет.</w:t>
      </w:r>
    </w:p>
    <w:p w:rsidR="00526EC5" w:rsidRDefault="00526EC5">
      <w:pPr>
        <w:pStyle w:val="aa"/>
        <w:tabs>
          <w:tab w:val="clear" w:pos="2974"/>
          <w:tab w:val="left" w:pos="426"/>
          <w:tab w:val="left" w:pos="1276"/>
        </w:tabs>
        <w:ind w:left="0" w:right="0" w:firstLine="555"/>
      </w:pPr>
      <w:r>
        <w:t xml:space="preserve">  4. Контроль исполнения настоящего Постановления возложить на заместителя главы по экономике и инвестициям Администрации Кыштымского городского округа </w:t>
      </w:r>
      <w:proofErr w:type="spellStart"/>
      <w:r>
        <w:t>Заикина</w:t>
      </w:r>
      <w:proofErr w:type="spellEnd"/>
      <w:r>
        <w:t xml:space="preserve"> А.А.</w:t>
      </w:r>
    </w:p>
    <w:p w:rsidR="00526EC5" w:rsidRDefault="00526EC5">
      <w:pPr>
        <w:ind w:firstLine="555"/>
        <w:rPr>
          <w:sz w:val="28"/>
          <w:szCs w:val="28"/>
        </w:rPr>
      </w:pPr>
    </w:p>
    <w:p w:rsidR="00526EC5" w:rsidRDefault="00526EC5">
      <w:pPr>
        <w:ind w:firstLine="555"/>
        <w:rPr>
          <w:sz w:val="28"/>
          <w:szCs w:val="28"/>
        </w:rPr>
      </w:pPr>
    </w:p>
    <w:p w:rsidR="00526EC5" w:rsidRDefault="00526EC5">
      <w:pPr>
        <w:ind w:right="-525"/>
        <w:rPr>
          <w:sz w:val="28"/>
          <w:szCs w:val="28"/>
        </w:rPr>
      </w:pPr>
    </w:p>
    <w:p w:rsidR="00526EC5" w:rsidRDefault="00526EC5">
      <w:pPr>
        <w:ind w:right="-525"/>
        <w:rPr>
          <w:sz w:val="28"/>
          <w:szCs w:val="28"/>
        </w:rPr>
      </w:pPr>
    </w:p>
    <w:p w:rsidR="00526EC5" w:rsidRDefault="00526EC5">
      <w:pPr>
        <w:ind w:right="-525"/>
        <w:rPr>
          <w:sz w:val="28"/>
          <w:szCs w:val="28"/>
        </w:rPr>
      </w:pPr>
    </w:p>
    <w:p w:rsidR="00526EC5" w:rsidRDefault="00526EC5">
      <w:pPr>
        <w:ind w:right="-525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Кыштымского городского округа                              </w:t>
      </w:r>
      <w:r w:rsidR="00561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25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Л.А. </w:t>
      </w:r>
      <w:proofErr w:type="spellStart"/>
      <w:r>
        <w:rPr>
          <w:sz w:val="28"/>
          <w:szCs w:val="28"/>
        </w:rPr>
        <w:t>Шеболаева</w:t>
      </w:r>
      <w:proofErr w:type="spellEnd"/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p w:rsidR="00526EC5" w:rsidRDefault="00526EC5">
      <w:pPr>
        <w:ind w:right="-525"/>
      </w:pPr>
    </w:p>
    <w:sectPr w:rsidR="00526EC5" w:rsidSect="008F0AA4">
      <w:footnotePr>
        <w:pos w:val="beneathText"/>
      </w:footnotePr>
      <w:pgSz w:w="11905" w:h="16837"/>
      <w:pgMar w:top="709" w:right="1060" w:bottom="426" w:left="1755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7630C"/>
    <w:rsid w:val="00047D44"/>
    <w:rsid w:val="00111A0E"/>
    <w:rsid w:val="002368C4"/>
    <w:rsid w:val="002F77A3"/>
    <w:rsid w:val="00334BEC"/>
    <w:rsid w:val="00341839"/>
    <w:rsid w:val="00427379"/>
    <w:rsid w:val="004825AD"/>
    <w:rsid w:val="00526EC5"/>
    <w:rsid w:val="005604D9"/>
    <w:rsid w:val="00561C13"/>
    <w:rsid w:val="005B4EA2"/>
    <w:rsid w:val="006856C7"/>
    <w:rsid w:val="007D2320"/>
    <w:rsid w:val="008D17E3"/>
    <w:rsid w:val="008E5631"/>
    <w:rsid w:val="008F0AA4"/>
    <w:rsid w:val="00975AF2"/>
    <w:rsid w:val="009E2744"/>
    <w:rsid w:val="00A64706"/>
    <w:rsid w:val="00AF5EFD"/>
    <w:rsid w:val="00B049DB"/>
    <w:rsid w:val="00E10C5B"/>
    <w:rsid w:val="00E261E0"/>
    <w:rsid w:val="00E7630C"/>
    <w:rsid w:val="00E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Arial Unicode MS" w:cs="Tahoma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a3">
    <w:name w:val="Основной шрифт"/>
  </w:style>
  <w:style w:type="character" w:customStyle="1" w:styleId="BodyTextIndentChar">
    <w:name w:val="Body Text Indent Char"/>
    <w:basedOn w:val="DefaultParagraphFont"/>
  </w:style>
  <w:style w:type="character" w:customStyle="1" w:styleId="BodyTextChar">
    <w:name w:val="Body Text Char"/>
    <w:basedOn w:val="DefaultParagraphFont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Body Text"/>
    <w:basedOn w:val="a"/>
    <w:pPr>
      <w:tabs>
        <w:tab w:val="left" w:pos="426"/>
      </w:tabs>
      <w:ind w:right="-908"/>
      <w:jc w:val="both"/>
    </w:pPr>
    <w:rPr>
      <w:sz w:val="28"/>
      <w:szCs w:val="28"/>
    </w:r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Обычный1"/>
    <w:pPr>
      <w:suppressAutoHyphens/>
    </w:pPr>
    <w:rPr>
      <w:rFonts w:eastAsia="Arial Unicode MS" w:cs="Tahoma"/>
      <w:kern w:val="1"/>
      <w:lang w:eastAsia="ar-SA"/>
    </w:rPr>
  </w:style>
  <w:style w:type="paragraph" w:styleId="aa">
    <w:name w:val="Body Text Indent"/>
    <w:basedOn w:val="a"/>
    <w:pPr>
      <w:tabs>
        <w:tab w:val="left" w:pos="2974"/>
      </w:tabs>
      <w:ind w:left="283" w:right="-766" w:firstLine="851"/>
      <w:jc w:val="both"/>
    </w:pPr>
    <w:rPr>
      <w:sz w:val="28"/>
      <w:szCs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rsid w:val="00B049D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403F-CF65-4211-9A40-BD165912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MoBIL GROUP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*</dc:creator>
  <cp:lastModifiedBy>k316-spec</cp:lastModifiedBy>
  <cp:revision>2</cp:revision>
  <cp:lastPrinted>2014-09-25T08:30:00Z</cp:lastPrinted>
  <dcterms:created xsi:type="dcterms:W3CDTF">2014-10-01T02:18:00Z</dcterms:created>
  <dcterms:modified xsi:type="dcterms:W3CDTF">2014-10-01T02:18:00Z</dcterms:modified>
</cp:coreProperties>
</file>