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04D9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EF08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8B4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140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17E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B026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F00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95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E3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6A6E9">
      <w:pPr>
        <w:tabs>
          <w:tab w:val="left" w:pos="4536"/>
        </w:tabs>
        <w:spacing w:after="0" w:line="240" w:lineRule="auto"/>
        <w:ind w:right="4675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объявления </w:t>
      </w:r>
    </w:p>
    <w:p w14:paraId="790D9BAC">
      <w:pPr>
        <w:tabs>
          <w:tab w:val="left" w:pos="4536"/>
        </w:tabs>
        <w:spacing w:after="0" w:line="240" w:lineRule="auto"/>
        <w:ind w:right="4675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 проведении отбора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муниципальных унитарных предприятий, </w:t>
      </w:r>
      <w:r>
        <w:rPr>
          <w:rFonts w:hint="default" w:ascii="Times New Roman" w:hAnsi="Times New Roman" w:cs="Times New Roman"/>
          <w:sz w:val="28"/>
          <w:szCs w:val="28"/>
        </w:rPr>
        <w:t>для предоставления субсидии в целях финансового обеспечения затрат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(возмещение затрат)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связанных с текущим финансированием содержания и ремонта (капитального ремонта), 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</w:p>
    <w:p w14:paraId="073D0402">
      <w:pPr>
        <w:tabs>
          <w:tab w:val="left" w:pos="4536"/>
        </w:tabs>
        <w:spacing w:after="0" w:line="240" w:lineRule="auto"/>
        <w:ind w:right="4675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39C9DB0">
      <w:pPr>
        <w:tabs>
          <w:tab w:val="left" w:pos="4536"/>
        </w:tabs>
        <w:spacing w:after="0" w:line="240" w:lineRule="auto"/>
        <w:ind w:right="4675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4C785C">
      <w:pPr>
        <w:tabs>
          <w:tab w:val="left" w:pos="9240"/>
        </w:tabs>
        <w:spacing w:after="0" w:line="240" w:lineRule="auto"/>
        <w:ind w:right="113" w:rightChars="0" w:firstLine="700" w:firstLineChars="250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отбора получателей 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редоставления субсидии на финансовое обеспечение затрат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(возмещение затрат) </w:t>
      </w:r>
      <w:r>
        <w:rPr>
          <w:rFonts w:hint="default"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связанных с текущим финансированием содержания и ремонта (капитального ремонта), 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 xml:space="preserve">Кыштымского городского округа в соответствии со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78 Бюджетного кодекса Российской Федерации, Постановлением Правительства РФ от 25 октября 2023г. № 1782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Кыштымского городского округа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25.07.2024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2046 </w:t>
      </w:r>
      <w:r>
        <w:rPr>
          <w:rFonts w:hint="default"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на финансовое обеспечение затрат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(возмещение затрат) </w:t>
      </w:r>
      <w:r>
        <w:rPr>
          <w:rFonts w:hint="default"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связанных с текущим финансированием содержания и ремонта  (капитального ремонта), 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округа»,</w:t>
      </w:r>
    </w:p>
    <w:p w14:paraId="1F596F6F">
      <w:pPr>
        <w:pStyle w:val="90"/>
        <w:spacing w:before="150" w:beforeAutospacing="0" w:after="0" w:afterAutospacing="0" w:line="16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582E1D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675E31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0A0C84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ПОСТАНОВЛЯЮ:</w:t>
      </w:r>
    </w:p>
    <w:p w14:paraId="6397CA3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989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объявление о проведении отбора для предоставления субсидии на финансовое обеспечение затрат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(возмещение затрат) </w:t>
      </w:r>
      <w:r>
        <w:rPr>
          <w:rFonts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связанных с текущим финансированием содержания и ремонта (</w:t>
      </w:r>
      <w:r>
        <w:rPr>
          <w:rFonts w:ascii="Times New Roman" w:hAnsi="Times New Roman" w:cs="Times New Roman"/>
          <w:sz w:val="28"/>
          <w:szCs w:val="28"/>
        </w:rPr>
        <w:t>капитально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 xml:space="preserve">Кыштымского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3C458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Кыштымского городского округа в информационно-телекоммуникационной сети «Интернет».</w:t>
      </w:r>
    </w:p>
    <w:p w14:paraId="3F0BB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Организацию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Комитета по управлению имуществом администрации Кыштымского городского округа Никитину 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C556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начальника правового управления Гаврилову А.О.</w:t>
      </w:r>
    </w:p>
    <w:p w14:paraId="359A9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7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B3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Кыштымского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Л.А. Шеболаева</w:t>
      </w:r>
    </w:p>
    <w:p w14:paraId="79C90929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23DBD7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630334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7BF3B7">
      <w:pPr>
        <w:rPr>
          <w:sz w:val="28"/>
          <w:szCs w:val="28"/>
        </w:rPr>
      </w:pPr>
    </w:p>
    <w:p w14:paraId="6369DE27">
      <w:pPr>
        <w:rPr>
          <w:sz w:val="28"/>
          <w:szCs w:val="28"/>
        </w:rPr>
      </w:pPr>
    </w:p>
    <w:p w14:paraId="28CA543D">
      <w:pPr>
        <w:rPr>
          <w:sz w:val="28"/>
          <w:szCs w:val="28"/>
        </w:rPr>
      </w:pPr>
    </w:p>
    <w:p w14:paraId="24F99BA7">
      <w:pPr>
        <w:rPr>
          <w:sz w:val="28"/>
          <w:szCs w:val="28"/>
        </w:rPr>
      </w:pPr>
    </w:p>
    <w:p w14:paraId="113B2299">
      <w:pPr>
        <w:rPr>
          <w:sz w:val="28"/>
          <w:szCs w:val="28"/>
        </w:rPr>
      </w:pPr>
    </w:p>
    <w:p w14:paraId="2C2C3FC9">
      <w:pPr>
        <w:rPr>
          <w:sz w:val="28"/>
          <w:szCs w:val="28"/>
        </w:rPr>
      </w:pPr>
    </w:p>
    <w:p w14:paraId="53550F0C">
      <w:pPr>
        <w:rPr>
          <w:sz w:val="28"/>
          <w:szCs w:val="28"/>
        </w:rPr>
      </w:pPr>
    </w:p>
    <w:p w14:paraId="00A390BA">
      <w:pPr>
        <w:rPr>
          <w:sz w:val="28"/>
          <w:szCs w:val="28"/>
        </w:rPr>
      </w:pPr>
    </w:p>
    <w:p w14:paraId="419E02AB">
      <w:pPr>
        <w:rPr>
          <w:sz w:val="28"/>
          <w:szCs w:val="28"/>
        </w:rPr>
      </w:pPr>
    </w:p>
    <w:p w14:paraId="2D124AAE">
      <w:pPr>
        <w:rPr>
          <w:sz w:val="28"/>
          <w:szCs w:val="28"/>
        </w:rPr>
      </w:pPr>
    </w:p>
    <w:p w14:paraId="3DF17301">
      <w:pPr>
        <w:rPr>
          <w:sz w:val="28"/>
          <w:szCs w:val="28"/>
        </w:rPr>
      </w:pPr>
    </w:p>
    <w:p w14:paraId="529FAD81">
      <w:pPr>
        <w:rPr>
          <w:sz w:val="28"/>
          <w:szCs w:val="28"/>
        </w:rPr>
      </w:pPr>
    </w:p>
    <w:p w14:paraId="492C22A1">
      <w:pPr>
        <w:rPr>
          <w:sz w:val="28"/>
          <w:szCs w:val="28"/>
        </w:rPr>
      </w:pPr>
    </w:p>
    <w:p w14:paraId="6340C6B0">
      <w:pPr>
        <w:rPr>
          <w:sz w:val="28"/>
          <w:szCs w:val="28"/>
        </w:rPr>
      </w:pPr>
    </w:p>
    <w:p w14:paraId="1DCB8366">
      <w:pPr>
        <w:rPr>
          <w:sz w:val="28"/>
          <w:szCs w:val="28"/>
        </w:rPr>
      </w:pPr>
    </w:p>
    <w:p w14:paraId="0EA79249">
      <w:pPr>
        <w:rPr>
          <w:sz w:val="28"/>
          <w:szCs w:val="28"/>
        </w:rPr>
      </w:pPr>
    </w:p>
    <w:p w14:paraId="7DD9ABEF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F9391F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4806B3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7B23BF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5CBB4B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A931DA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B5B57A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91F7F2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188B2F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96854D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072794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2FA3D8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0EB2C7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5063F9">
      <w:pPr>
        <w:pStyle w:val="1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958AAEA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7472DF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CD94B3">
      <w:pPr>
        <w:pStyle w:val="151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7A7DFA">
      <w:pPr>
        <w:pStyle w:val="151"/>
        <w:ind w:left="0" w:leftChars="0" w:firstLine="0" w:firstLineChars="0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1F08ACDB">
      <w:pPr>
        <w:pStyle w:val="151"/>
        <w:ind w:left="0" w:leftChars="0" w:firstLine="0" w:firstLineChars="0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6615D4">
      <w:pPr>
        <w:pStyle w:val="151"/>
        <w:ind w:left="0" w:leftChars="0" w:firstLine="0" w:firstLineChars="0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Заместитель главы                                                                         А.О. Гаврилова</w:t>
      </w:r>
    </w:p>
    <w:p w14:paraId="6ED901DB">
      <w:pPr>
        <w:pStyle w:val="151"/>
        <w:ind w:left="0" w:leftChars="0" w:firstLine="0" w:firstLineChars="0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Кыштымского городского округа</w:t>
      </w:r>
    </w:p>
    <w:p w14:paraId="37C5EE4D">
      <w:pPr>
        <w:pStyle w:val="151"/>
        <w:ind w:left="0" w:leftChars="0" w:firstLine="0" w:firstLineChars="0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Начальник правового управления</w:t>
      </w:r>
    </w:p>
    <w:p w14:paraId="07131C61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2A70228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4CE418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Председатель                                                                                 Э.А. Никитина</w:t>
      </w:r>
    </w:p>
    <w:p w14:paraId="400575A2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Комитета по управлению имуществом </w:t>
      </w:r>
    </w:p>
    <w:p w14:paraId="01EE05FB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Кыштымского городского округа</w:t>
      </w:r>
    </w:p>
    <w:p w14:paraId="240A4DE6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(исполнитель)</w:t>
      </w:r>
    </w:p>
    <w:p w14:paraId="64901634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A714A2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CBC05E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BD68EC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Рассылка: в дело, КУИ, правовое управление, управление информационных технологий.</w:t>
      </w:r>
    </w:p>
    <w:p w14:paraId="15AE7812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439F48">
      <w:pPr>
        <w:pStyle w:val="151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3DDF80">
      <w:pPr>
        <w:pStyle w:val="151"/>
        <w:ind w:firstLine="709"/>
        <w:contextualSpacing/>
        <w:jc w:val="right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479157">
      <w:pPr>
        <w:pStyle w:val="151"/>
        <w:ind w:firstLine="709"/>
        <w:contextualSpacing/>
        <w:jc w:val="right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662CFB">
      <w:pPr>
        <w:pStyle w:val="151"/>
        <w:ind w:firstLine="709"/>
        <w:contextualSpacing/>
        <w:jc w:val="right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</w:t>
      </w:r>
      <w:r>
        <w:rPr>
          <w:rFonts w:hint="default" w:ascii="Times New Roman" w:hAnsi="Times New Roman" w:cs="Times New Roman"/>
          <w:sz w:val="28"/>
          <w:szCs w:val="28"/>
        </w:rPr>
        <w:t>иложение к постановлению</w:t>
      </w:r>
    </w:p>
    <w:p w14:paraId="504EC9C3">
      <w:pPr>
        <w:pStyle w:val="151"/>
        <w:ind w:firstLine="709"/>
        <w:contextualSpacing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Администрации Кыштымского</w:t>
      </w:r>
    </w:p>
    <w:p w14:paraId="24566D06">
      <w:pPr>
        <w:pStyle w:val="151"/>
        <w:ind w:firstLine="709"/>
        <w:contextualSpacing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городского округа</w:t>
      </w:r>
    </w:p>
    <w:p w14:paraId="1403785F">
      <w:pPr>
        <w:pStyle w:val="151"/>
        <w:ind w:firstLine="709"/>
        <w:contextualSpacing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 __________ 2024 г. №____</w:t>
      </w:r>
    </w:p>
    <w:p w14:paraId="685DF2AF">
      <w:pPr>
        <w:pStyle w:val="151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E1F0CC">
      <w:pPr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P31"/>
      <w:bookmarkEnd w:id="0"/>
    </w:p>
    <w:p w14:paraId="6826836D">
      <w:pPr>
        <w:spacing w:line="24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Объявление</w:t>
      </w:r>
    </w:p>
    <w:p w14:paraId="587FD59A">
      <w:pPr>
        <w:spacing w:after="0" w:line="24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 проведении отбора для предоставления субсидии на финансовое обеспечение затрат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(возмещение затрат)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связанных с текущим финансированием содержания и ремонта (</w:t>
      </w:r>
      <w:r>
        <w:rPr>
          <w:rFonts w:hint="default" w:ascii="Times New Roman" w:hAnsi="Times New Roman" w:cs="Times New Roman"/>
          <w:sz w:val="28"/>
          <w:szCs w:val="28"/>
        </w:rPr>
        <w:t>капитально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ремонт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а), закреплённого за унитарным предприятием имущества </w:t>
      </w:r>
    </w:p>
    <w:p w14:paraId="61AC97C1">
      <w:pPr>
        <w:spacing w:after="0" w:line="24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</w:p>
    <w:p w14:paraId="2A7B372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contextualSpacing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4B4E95A">
      <w:pPr>
        <w:pStyle w:val="15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18.12.</w:t>
      </w:r>
      <w:r>
        <w:rPr>
          <w:rFonts w:hint="default" w:ascii="Times New Roman" w:hAnsi="Times New Roman" w:cs="Times New Roman"/>
          <w:sz w:val="28"/>
          <w:szCs w:val="28"/>
        </w:rPr>
        <w:t xml:space="preserve">2024 года Администрация Кыштымского городского округа начинает отбор получателей субсидии в целях финансового обеспечения затрат на выполнение мероприятий по капитальному ремонту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76E0B3A">
      <w:pPr>
        <w:pStyle w:val="15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ind w:left="0"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Сроки проведения отбора для предоставления субсидий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муниципальным унитарным предприятиям в</w:t>
      </w:r>
      <w:r>
        <w:rPr>
          <w:rFonts w:hint="default" w:ascii="Times New Roman" w:hAnsi="Times New Roman" w:cs="Times New Roman"/>
          <w:sz w:val="28"/>
          <w:szCs w:val="28"/>
        </w:rPr>
        <w:t xml:space="preserve"> целях отбора получателей 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редоставления субсидии на финансовое обеспечение затрат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(возмещение затрат) </w:t>
      </w:r>
      <w:r>
        <w:rPr>
          <w:rFonts w:hint="default"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связанных с текущим финансированием содержания и ремонта (</w:t>
      </w:r>
      <w:r>
        <w:rPr>
          <w:rFonts w:hint="default" w:ascii="Times New Roman" w:hAnsi="Times New Roman" w:cs="Times New Roman"/>
          <w:sz w:val="28"/>
          <w:szCs w:val="28"/>
        </w:rPr>
        <w:t>капитально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ремонт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а),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 xml:space="preserve">Кыштымского городского округа с 08-00 час.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.2024 по 17-00 час.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.2024.</w:t>
      </w:r>
    </w:p>
    <w:p w14:paraId="251A55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Органом уполномоченным на проведение отбора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Комитет по управлению имуществом администрации 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, расположенный по адресу: Челябинская область, г. Кыштым, ул.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Площадь Карла Маркса, 1</w:t>
      </w:r>
      <w:r>
        <w:rPr>
          <w:rFonts w:hint="default" w:ascii="Times New Roman" w:hAnsi="Times New Roman" w:cs="Times New Roman"/>
          <w:sz w:val="28"/>
          <w:szCs w:val="28"/>
        </w:rPr>
        <w:t xml:space="preserve"> каб.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402, в</w:t>
      </w:r>
      <w:r>
        <w:rPr>
          <w:rFonts w:hint="default" w:ascii="Times New Roman" w:hAnsi="Times New Roman" w:cs="Times New Roman"/>
          <w:sz w:val="28"/>
          <w:szCs w:val="28"/>
        </w:rPr>
        <w:t>ремя работы: с понедельника по пятницу с 08:00 час. до 17:00 час., перерыв с 12:00 час. до 13:00 час. Тел. 8351514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1028</w:t>
      </w:r>
      <w:r>
        <w:rPr>
          <w:rFonts w:hint="default" w:ascii="Times New Roman" w:hAnsi="Times New Roman" w:cs="Times New Roman"/>
          <w:sz w:val="28"/>
          <w:szCs w:val="28"/>
        </w:rPr>
        <w:t xml:space="preserve">. Эл. почта: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"mailto:ugh@adminkgo.ru"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20"/>
          <w:rFonts w:hint="default" w:ascii="Times New Roman" w:hAnsi="Times New Roman" w:cs="Times New Roman"/>
          <w:sz w:val="28"/>
          <w:szCs w:val="28"/>
          <w:lang w:val="en-US"/>
        </w:rPr>
        <w:t>kui_pred</w:t>
      </w:r>
      <w:r>
        <w:rPr>
          <w:rStyle w:val="20"/>
          <w:rFonts w:hint="default" w:ascii="Times New Roman" w:hAnsi="Times New Roman" w:cs="Times New Roman"/>
          <w:sz w:val="28"/>
          <w:szCs w:val="28"/>
        </w:rPr>
        <w:t>@adminkgo.ru</w:t>
      </w:r>
      <w:r>
        <w:rPr>
          <w:rStyle w:val="20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 Контактное лицо: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Никитина Эвелина Анатольевна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E81C742">
      <w:pPr>
        <w:tabs>
          <w:tab w:val="left" w:pos="9240"/>
        </w:tabs>
        <w:spacing w:after="0" w:line="240" w:lineRule="auto"/>
        <w:ind w:right="113" w:rightChars="0" w:firstLine="700" w:firstLineChars="250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Отбор осуществляется </w:t>
      </w:r>
      <w:r>
        <w:rPr>
          <w:rFonts w:hint="default" w:ascii="Times New Roman" w:hAnsi="Times New Roman" w:cs="Times New Roman"/>
          <w:sz w:val="28"/>
          <w:szCs w:val="28"/>
        </w:rPr>
        <w:t>в целях предоставления субсидии на финансовое обеспечения затрат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(возмещение затрат) </w:t>
      </w:r>
      <w:r>
        <w:rPr>
          <w:rFonts w:hint="default"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связанных с текущим финансированием содержания и ремонта (</w:t>
      </w:r>
      <w:r>
        <w:rPr>
          <w:rFonts w:hint="default" w:ascii="Times New Roman" w:hAnsi="Times New Roman" w:cs="Times New Roman"/>
          <w:sz w:val="28"/>
          <w:szCs w:val="28"/>
        </w:rPr>
        <w:t>капитально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 р</w:t>
      </w:r>
      <w:r>
        <w:rPr>
          <w:rFonts w:hint="default" w:ascii="Times New Roman" w:hAnsi="Times New Roman" w:cs="Times New Roman"/>
          <w:sz w:val="28"/>
          <w:szCs w:val="28"/>
        </w:rPr>
        <w:t>емонт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а),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 xml:space="preserve">Кыштымского городского округа,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в соответствии с Порядком предоставления субсидии на</w:t>
      </w:r>
      <w:r>
        <w:rPr>
          <w:rFonts w:hint="default" w:ascii="Times New Roman" w:hAnsi="Times New Roman" w:cs="Times New Roman"/>
          <w:sz w:val="28"/>
          <w:szCs w:val="28"/>
        </w:rPr>
        <w:t xml:space="preserve"> финансовое обеспечение затрат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(возмещение затрат) </w:t>
      </w:r>
      <w:r>
        <w:rPr>
          <w:rFonts w:hint="default"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связанных с текущим финансированием содержания и ремонта  (капитального ремонта), 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 xml:space="preserve">Кыштымского городского округа»,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Постановлением администрации Кыштымского городского округа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25.07.2024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2046</w:t>
      </w:r>
      <w:r>
        <w:rPr>
          <w:rFonts w:hint="default" w:ascii="Times New Roman" w:hAnsi="Times New Roman" w:cs="Times New Roman"/>
          <w:sz w:val="28"/>
          <w:szCs w:val="28"/>
        </w:rPr>
        <w:t xml:space="preserve">  (далее – Порядок). </w:t>
      </w:r>
    </w:p>
    <w:p w14:paraId="16CFA669"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Требования к участникам отбора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на 01-е число месяца, предшествующего месяцу, в котором планируется заключение соглашения о предоставлении субсидии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4861DB6C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расчёте</w:t>
      </w:r>
      <w:r>
        <w:rPr>
          <w:rFonts w:hint="default" w:ascii="Times New Roman" w:hAnsi="Times New Roman" w:cs="Times New Roman"/>
          <w:sz w:val="28"/>
          <w:szCs w:val="28"/>
        </w:rPr>
        <w:t xml:space="preserve">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B2E94F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8B2C60E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DA19468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участник отбора не получает средства из бюджета Кыштымского городского округа на основании иных муниципальных нормативных правовых актов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целях отбора получателей 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редоставления субсидии на финансовое обеспечение затрат на выполнение мероприятий по капитальному ремонту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09F2063A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14:paraId="354039E9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 участника отбора отсутствуют просроченная задолженность по возврату в бюджет Кыштымского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Кыштымским городским округом;</w:t>
      </w:r>
    </w:p>
    <w:p w14:paraId="4CE1B78E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участник отбора,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муниципальное унитарное предприятие, </w:t>
      </w:r>
      <w:r>
        <w:rPr>
          <w:rFonts w:hint="default" w:ascii="Times New Roman" w:hAnsi="Times New Roman" w:cs="Times New Roman"/>
          <w:sz w:val="28"/>
          <w:szCs w:val="28"/>
        </w:rPr>
        <w:t>являющ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ееся</w:t>
      </w:r>
      <w:r>
        <w:rPr>
          <w:rFonts w:hint="default" w:ascii="Times New Roman" w:hAnsi="Times New Roman" w:cs="Times New Roman"/>
          <w:sz w:val="28"/>
          <w:szCs w:val="28"/>
        </w:rPr>
        <w:t xml:space="preserve">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541795E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5436511B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Категория получателей субсидии:</w:t>
      </w:r>
    </w:p>
    <w:p w14:paraId="689D3464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Муниципальные унитарные предприятия, учредителем которых является муниципальное образование Кыштымский городской округ, на которое выделяется субсидия.</w:t>
      </w:r>
    </w:p>
    <w:p w14:paraId="2C35D07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Критерии отбора получателей субсидии:</w:t>
      </w:r>
    </w:p>
    <w:p w14:paraId="4191757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Участник отбора  должен являться муниципальным унитарным предприятием, владеющим на праве хозяйственного ведения муниципальным имуществом кыштымского городского округа.</w:t>
      </w:r>
    </w:p>
    <w:p w14:paraId="0710B8BD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документов, предоставляемых заявителями:</w:t>
      </w:r>
    </w:p>
    <w:p w14:paraId="57A6191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>1)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заявка на предоставление субсидии на финансовое обеспечение затрат на выполнение мероприятий по капитальному ремонту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по форме согласно приложению 1 к Порядку,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  <w:lang w:val="ru-RU"/>
        </w:rPr>
        <w:t>утверждённого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 постановлением администрации Кыштымского городского округа от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  <w:lang w:val="ru-RU"/>
        </w:rPr>
        <w:t>25.07.2024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  <w:lang w:val="ru-RU"/>
        </w:rPr>
        <w:t>2046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 ;</w:t>
      </w:r>
    </w:p>
    <w:p w14:paraId="75BA0502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14:paraId="50A7A4C2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копии учредительных документов участника отбора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внесёнными</w:t>
      </w:r>
      <w:r>
        <w:rPr>
          <w:rFonts w:hint="default" w:ascii="Times New Roman" w:hAnsi="Times New Roman" w:cs="Times New Roman"/>
          <w:sz w:val="28"/>
          <w:szCs w:val="28"/>
        </w:rPr>
        <w:t xml:space="preserve"> изменениями и дополнениями;</w:t>
      </w:r>
    </w:p>
    <w:p w14:paraId="7D170F4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справка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получателя субсидии банкротом и открытии конкурсного производства, составленная в произвольной форме;</w:t>
      </w:r>
    </w:p>
    <w:p w14:paraId="017CB2FE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справка об отсутствии у получателя субсидии просроченной задолженности по возврату в бюджет Кыштымского городского округа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Кыштымского городского округа;</w:t>
      </w:r>
    </w:p>
    <w:p w14:paraId="47BF70D3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справка, подтверждающая отсутствие получения средств из бюджета Кыштымского городского округа на финансовое обеспечение затрат на выполнение мероприятий по капитальному ремонту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78D597B9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согласие участника отбора на публикацию (размещение) в информационно-телекоммуникационной сети Интернет информации об участнике отбора, о подаваемой участником отбора заявке на предоставление субсидии, иной информации об участнике отбора, связанной с отбором;</w:t>
      </w:r>
    </w:p>
    <w:p w14:paraId="76CDB91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копия свидетельства о государственной регистрации участника отбора;</w:t>
      </w:r>
    </w:p>
    <w:p w14:paraId="155FC1ED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9) расчёт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и обоснование запрашиваемой суммы субсидии, содержащий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сводный сметный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расчёт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 приложением локальных смет на выполнение </w:t>
      </w:r>
      <w:r>
        <w:rPr>
          <w:rFonts w:hint="default" w:ascii="Times New Roman" w:hAnsi="Times New Roman" w:cs="Times New Roman"/>
          <w:sz w:val="28"/>
          <w:szCs w:val="28"/>
        </w:rPr>
        <w:t>мероприятий, связанных с текущим финансированием содержания и ремонта (капитального ремонта), закреплённого за унитарным предприятием  имущества Кыштымского городского округа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, обосновывающий направление и размер предстоящих (совершенных) расходов;</w:t>
      </w:r>
    </w:p>
    <w:p w14:paraId="64AC0A7F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возмещения совершенных затрат, дополнительно предоставляется положительное заключение государственной (негосударственной экспертизы в случаях предусмотренных действующим законодательством) экспертизы достоверности определения сметной стоимости (документы предоставляются в случае проведения ремонтов (капитальных ремонтов);</w:t>
      </w:r>
    </w:p>
    <w:p w14:paraId="4EEBA651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финансового обеспечения предстоящих затрат предоставление положительного заключения государственной (негосударственной экспертизы в случаях предусмотренных действующим законодательством) экспертизы достоверности определения сметной стоимости предоставляется в течение 60 дней с момента получения субсидии(документы предоставляются в случае проведения ремонтов (капитальных ремонтов);</w:t>
      </w:r>
    </w:p>
    <w:p w14:paraId="0E1F809B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 подтверждающие документы в случае предоставления субсидии на содержание;</w:t>
      </w:r>
    </w:p>
    <w:p w14:paraId="79AB4D52">
      <w:pPr>
        <w:widowControl w:val="0"/>
        <w:numPr>
          <w:ilvl w:val="0"/>
          <w:numId w:val="1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документ, подтверждающий полномочия руководителя участника отбора, а в случае подписания заявки на предоставление субсидии и прилагаемых к ней документов представителем участника отбора, действующим на основании доверенности, – также доверенность на осуществление соответствующих действий, подписанная руководителем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скреплённая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печатью участника отбора (при наличии);</w:t>
      </w:r>
    </w:p>
    <w:p w14:paraId="10EA249A">
      <w:pPr>
        <w:widowControl w:val="0"/>
        <w:numPr>
          <w:ilvl w:val="0"/>
          <w:numId w:val="1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268.1, 269.2 Бюджетного кодекса Российской Федерации;</w:t>
      </w:r>
    </w:p>
    <w:p w14:paraId="5C1D159B">
      <w:pPr>
        <w:widowControl w:val="0"/>
        <w:numPr>
          <w:ilvl w:val="0"/>
          <w:numId w:val="1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уведомление об открытии банковского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расчётного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или корреспондентского счета, открытого юридическому лицу в учреждениях Центрального банка Российской Федерации или кредитных организациях (за исключением субсидии, подлежащей в соответствии с бюджетным законодательством Российской Федерации казначейскому сопровождению);</w:t>
      </w:r>
    </w:p>
    <w:p w14:paraId="0C2CF465">
      <w:pPr>
        <w:widowControl w:val="0"/>
        <w:numPr>
          <w:ilvl w:val="0"/>
          <w:numId w:val="1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согласие на открытие лицевого счета в Финансовом органе Кыштымского городского округа.</w:t>
      </w:r>
    </w:p>
    <w:p w14:paraId="327952E1">
      <w:pPr>
        <w:widowControl w:val="0"/>
        <w:numPr>
          <w:ilvl w:val="0"/>
          <w:numId w:val="0"/>
        </w:numPr>
        <w:tabs>
          <w:tab w:val="left" w:pos="1367"/>
        </w:tabs>
        <w:autoSpaceDE w:val="0"/>
        <w:autoSpaceDN w:val="0"/>
        <w:spacing w:after="0" w:line="240" w:lineRule="auto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Участник отбора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вправе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38700ECE">
      <w:pPr>
        <w:widowControl w:val="0"/>
        <w:numPr>
          <w:ilvl w:val="0"/>
          <w:numId w:val="0"/>
        </w:numPr>
        <w:tabs>
          <w:tab w:val="left" w:pos="1367"/>
        </w:tabs>
        <w:autoSpaceDE w:val="0"/>
        <w:autoSpaceDN w:val="0"/>
        <w:spacing w:after="0" w:line="240" w:lineRule="auto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подать одну заявку в рамках одного отбора. Все расходы, связанные с подготовкой и представлением документов для участия в отборе, несут заявители;</w:t>
      </w:r>
    </w:p>
    <w:p w14:paraId="362951D0">
      <w:pPr>
        <w:widowControl w:val="0"/>
        <w:numPr>
          <w:ilvl w:val="0"/>
          <w:numId w:val="0"/>
        </w:numPr>
        <w:tabs>
          <w:tab w:val="left" w:pos="1367"/>
        </w:tabs>
        <w:autoSpaceDE w:val="0"/>
        <w:autoSpaceDN w:val="0"/>
        <w:spacing w:after="0" w:line="240" w:lineRule="auto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отозвать заявку на предоставление субсидии до даты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предоставление субсидии. Для отзыва заявки на предоставление субсидии участник отбора или представитель по доверенности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подаёт</w:t>
      </w:r>
      <w:r>
        <w:rPr>
          <w:rFonts w:hint="default" w:ascii="Times New Roman" w:hAnsi="Times New Roman" w:cs="Times New Roman"/>
          <w:sz w:val="28"/>
          <w:szCs w:val="28"/>
        </w:rPr>
        <w:t xml:space="preserve"> соответствующее заявление уполномоченному органу. Отозванные документы передаются участнику отбора или представителю по доверенности в течение двух рабочих дней после подачи соответствующего заявления;</w:t>
      </w:r>
    </w:p>
    <w:p w14:paraId="1EBB189B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изменения в заявку на предоставление субсидии до даты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предоставление субсидии. Изменения в заявку на предоставление субсидии вносятся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подачи новой заявки на предоставление субсидии, оформленной в соответствии с настоящим Порядком. При этом ранее поданная заявка на предоставление субсидии считается отозванной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передаётся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участнику отбора или представителю по доверенности в течение двух рабочих дней после подачи новой заявки на предоставление субсидии;</w:t>
      </w:r>
    </w:p>
    <w:p w14:paraId="500A391F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обратиться к уполномоченному органу за разъяснением положений отбора с даты опубликования объявления о проведении отбора до даты начала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предоставление субсидии. Уполномоченный орган в течение пяти рабочих дней с даты получения такого обращения подготавливает разъяснение положений отбора и размещает его на официальном сайте администрации Кыштымского городского округа в информационно-телекоммуникационной сети «Интернет».</w:t>
      </w:r>
    </w:p>
    <w:p w14:paraId="5F8989EC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Комиссия в течение 3 рабочих дней со дня окончания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рассматривает их и выносит решение о предоставлении субсидии и заключении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Соглашения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ее</w:t>
      </w:r>
      <w:r>
        <w:rPr>
          <w:rFonts w:hint="default" w:ascii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предоставлении.</w:t>
      </w:r>
    </w:p>
    <w:p w14:paraId="1251799D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Основаниями для отклонения заявки и отказа в предоставлении субсидии являются:</w:t>
      </w:r>
    </w:p>
    <w:p w14:paraId="16BA447E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несоответствие участника отбора категории и критериям отбора, установленным в пунктах 5, 6 Порядка, и требованиям, установленным пунктом 9 Порядка;</w:t>
      </w:r>
    </w:p>
    <w:p w14:paraId="54B7F9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14:paraId="2490483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подача участником отбора заявки на предоставление субсидии после даты и (или) времени,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ее подачи;</w:t>
      </w:r>
    </w:p>
    <w:p w14:paraId="7A9061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непредставление (представление не в полном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sz w:val="28"/>
          <w:szCs w:val="28"/>
        </w:rPr>
        <w:t>) документов, указанных в объявлении о проведении отбора, предусмотренных правовым актом;</w:t>
      </w:r>
    </w:p>
    <w:p w14:paraId="404269C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отсутствие в текущем финансовом году в бюджете Кыштымского городского округа, в соответствующей муниципальной программе бюджетных ассигнований и лимитов бюджетных обязательств,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доведённых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уполномоченному органу в текущем финансовом году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 xml:space="preserve">а выполнение мероприятий по капитальному ремонту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закреплённого за унитарным предприятием имущества </w:t>
      </w:r>
      <w:r>
        <w:rPr>
          <w:rFonts w:hint="default" w:ascii="Times New Roman" w:hAnsi="Times New Roman" w:cs="Times New Roman"/>
          <w:sz w:val="28"/>
          <w:szCs w:val="28"/>
        </w:rPr>
        <w:t>Кыштымского городского округа</w:t>
      </w:r>
    </w:p>
    <w:p w14:paraId="7B99A62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отклонения заявки на предоставление субсидии на стадии рассмотрения уполномоченный орган в шестидневный срок, исчисляемый в рабочих днях, по завершении сроков подачи заявок на предоставление субсидии направляет участнику отбора уведомление об отклонении заявки на предоставление субсидии простым почтовым отправлением по адресу, указанному участником отбора, либо в форме электронного документа по адресу электронной почты, указанному участником отбора.</w:t>
      </w:r>
    </w:p>
    <w:p w14:paraId="4D3B9A0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Комиссия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руководствуется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порядком,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требованиями,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указанными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 13 Порядка.</w:t>
      </w:r>
    </w:p>
    <w:p w14:paraId="282D709F">
      <w:pPr>
        <w:pStyle w:val="61"/>
        <w:tabs>
          <w:tab w:val="left" w:pos="709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критерию, указанному в приложении 1 Порядка, Комиссией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выставляются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баллы. Для сопоставления заявок результаты оценки комиссия заносит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сравнительную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таблицу.</w:t>
      </w:r>
    </w:p>
    <w:p w14:paraId="1F3AE90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Победителями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отбора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чьи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наберут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наибольшее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количество итоговых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баллов.</w:t>
      </w:r>
    </w:p>
    <w:p w14:paraId="11A2401D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случае если в результате сопоставления заявок установлено,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 величина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рейтинга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нескольких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одинаковое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значение,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ранжируются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времени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становится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направивший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раньше.</w:t>
      </w:r>
    </w:p>
    <w:p w14:paraId="03053727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случае если совокупный объем запрашиваемых субсидий превышает объем средств, предусмотренный для предоставления субсидий на соответствующий год, распределение средств между победителями отбора осуществляется в соответствии с количеством набранных баллов, в порядке убывания по остаточному принципу.</w:t>
      </w:r>
    </w:p>
    <w:p w14:paraId="7062BA6C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по окончании срока подачи заявок подана только одна заявка, которая признана соответствующей требованиям, установленным в объявлении, и по результатам рассмотрения заявок признана комиссией соответствующей требованиям, установленным пунктами 9, 11 Порядка, комиссия принимает решение об участии в отборе единственной заявки на право получения субсидии.</w:t>
      </w:r>
    </w:p>
    <w:p w14:paraId="74679770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по результатам рассмотрения заявок все заявки отклонены или по окончании срока подачи заявок не подано ни одной заявки, отбор признается несостоявшимся.</w:t>
      </w:r>
    </w:p>
    <w:p w14:paraId="4ADF295C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предоставление субсидии без повторного прохождения отбора невозможно.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Результаты рассмотрения заявок на предоставление субсидии участников отбора размещаются на официальном сайте администрации Кыштымского городского округа в информационно-телекоммуникационной сети «Интернет» странице уполномоченного органа  (при наличии технической возможности).</w:t>
      </w:r>
    </w:p>
    <w:p w14:paraId="69F909C0">
      <w:pPr>
        <w:pStyle w:val="61"/>
        <w:spacing w:after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отсутствия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портале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направляет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письменное уведомление в адрес победителей отбора одним из следующих видов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связи: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почтовым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сообщением,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факсимильной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сообщением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 сети Интернет.</w:t>
      </w:r>
    </w:p>
    <w:p w14:paraId="5C3B10EB">
      <w:pPr>
        <w:pStyle w:val="61"/>
        <w:spacing w:after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Максимальный размер планируемой к предоставлению субсидии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176 500 </w:t>
      </w:r>
      <w:r>
        <w:rPr>
          <w:rFonts w:hint="default" w:ascii="Times New Roman" w:hAnsi="Times New Roman" w:cs="Times New Roman"/>
          <w:sz w:val="28"/>
          <w:szCs w:val="28"/>
        </w:rPr>
        <w:t>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(сто семьдесят шесть тысяч пятьсот рублей) 00 коп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A7FDF5A">
      <w:pPr>
        <w:tabs>
          <w:tab w:val="left" w:pos="582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1A5EF9">
      <w:pPr>
        <w:tabs>
          <w:tab w:val="left" w:pos="582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CB4F169">
      <w:pPr>
        <w:tabs>
          <w:tab w:val="left" w:pos="582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Председатель Комитета                                                                   Э.А. Никитина</w:t>
      </w:r>
    </w:p>
    <w:p w14:paraId="1AE1D879">
      <w:pPr>
        <w:tabs>
          <w:tab w:val="left" w:pos="582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управлению имуществом</w:t>
      </w:r>
    </w:p>
    <w:p w14:paraId="7F0842FC">
      <w:pPr>
        <w:tabs>
          <w:tab w:val="left" w:pos="582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Кыштымского</w:t>
      </w:r>
    </w:p>
    <w:p w14:paraId="48F2E632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городского округа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C7F73C1"/>
    <w:p w14:paraId="3AF9919F">
      <w:pPr>
        <w:rPr>
          <w:lang w:val="en-US"/>
        </w:rPr>
      </w:pPr>
    </w:p>
    <w:sectPr>
      <w:pgSz w:w="11906" w:h="16838"/>
      <w:pgMar w:top="1134" w:right="849" w:bottom="1134" w:left="170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4F88F961"/>
    <w:multiLevelType w:val="singleLevel"/>
    <w:tmpl w:val="4F88F961"/>
    <w:lvl w:ilvl="0" w:tentative="0">
      <w:start w:val="10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5E6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6B9E2C4E"/>
    <w:rsid w:val="77E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152">
    <w:name w:val="List Paragraph"/>
    <w:basedOn w:val="1"/>
    <w:qFormat/>
    <w:uiPriority w:val="1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2024-12-18T12:18:00Z</dcterms:created>
  <dc:creator>Председатель</dc:creator>
  <cp:lastModifiedBy>Председатель</cp:lastModifiedBy>
  <dcterms:modified xsi:type="dcterms:W3CDTF">2024-12-18T12:19:08Z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58E9BFF4C3854B879E379A8422EEE0B2_11</vt:lpwstr>
  </property>
</Properties>
</file>