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BB" w:rsidRDefault="002D0847" w:rsidP="004D33BB">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p>
    <w:p w:rsidR="004D33BB" w:rsidRDefault="002D0847" w:rsidP="004D33BB">
      <w:pPr>
        <w:jc w:val="center"/>
        <w:rPr>
          <w:b/>
          <w:sz w:val="24"/>
          <w:szCs w:val="24"/>
        </w:rPr>
      </w:pPr>
      <w:proofErr w:type="gramStart"/>
      <w:r w:rsidRPr="00C04269">
        <w:rPr>
          <w:b/>
          <w:sz w:val="24"/>
          <w:szCs w:val="24"/>
        </w:rPr>
        <w:t>соблюдение</w:t>
      </w:r>
      <w:proofErr w:type="gramEnd"/>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p>
    <w:p w:rsidR="002D0847" w:rsidRDefault="002D0847" w:rsidP="004D33BB">
      <w:pPr>
        <w:jc w:val="center"/>
        <w:rPr>
          <w:b/>
          <w:sz w:val="24"/>
          <w:szCs w:val="24"/>
        </w:rPr>
      </w:pP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4D33BB">
        <w:rPr>
          <w:b/>
          <w:sz w:val="24"/>
          <w:szCs w:val="24"/>
        </w:rPr>
        <w:t>муниципального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4D33BB">
        <w:rPr>
          <w:b/>
          <w:sz w:val="24"/>
          <w:szCs w:val="24"/>
        </w:rPr>
        <w:t>контроля</w:t>
      </w:r>
    </w:p>
    <w:p w:rsidR="004D33BB" w:rsidRPr="004D33BB" w:rsidRDefault="004D33BB" w:rsidP="006B3F49">
      <w:pPr>
        <w:jc w:val="center"/>
        <w:rPr>
          <w:b/>
          <w:sz w:val="24"/>
          <w:szCs w:val="24"/>
        </w:rPr>
      </w:pPr>
    </w:p>
    <w:tbl>
      <w:tblPr>
        <w:tblStyle w:val="a3"/>
        <w:tblW w:w="15134" w:type="dxa"/>
        <w:tblLook w:val="04A0"/>
      </w:tblPr>
      <w:tblGrid>
        <w:gridCol w:w="560"/>
        <w:gridCol w:w="2402"/>
        <w:gridCol w:w="12172"/>
      </w:tblGrid>
      <w:tr w:rsidR="006B3F49" w:rsidRPr="004D33BB" w:rsidTr="004D33BB">
        <w:tc>
          <w:tcPr>
            <w:tcW w:w="560" w:type="dxa"/>
          </w:tcPr>
          <w:p w:rsidR="006B3F49" w:rsidRPr="004D33BB" w:rsidRDefault="006B3F49" w:rsidP="006B3F49">
            <w:pPr>
              <w:jc w:val="center"/>
              <w:rPr>
                <w:b/>
                <w:sz w:val="24"/>
                <w:szCs w:val="24"/>
              </w:rPr>
            </w:pPr>
            <w:r w:rsidRPr="004D33BB">
              <w:rPr>
                <w:b/>
                <w:sz w:val="24"/>
                <w:szCs w:val="24"/>
              </w:rPr>
              <w:t xml:space="preserve">№ </w:t>
            </w:r>
            <w:proofErr w:type="gramStart"/>
            <w:r w:rsidRPr="004D33BB">
              <w:rPr>
                <w:b/>
                <w:sz w:val="24"/>
                <w:szCs w:val="24"/>
              </w:rPr>
              <w:t>п</w:t>
            </w:r>
            <w:proofErr w:type="gramEnd"/>
            <w:r w:rsidRPr="004D33BB">
              <w:rPr>
                <w:b/>
                <w:sz w:val="24"/>
                <w:szCs w:val="24"/>
              </w:rPr>
              <w:t>/п</w:t>
            </w:r>
          </w:p>
        </w:tc>
        <w:tc>
          <w:tcPr>
            <w:tcW w:w="2402" w:type="dxa"/>
          </w:tcPr>
          <w:p w:rsidR="006B3F49" w:rsidRPr="004D33BB" w:rsidRDefault="004D33BB" w:rsidP="006B3F49">
            <w:pPr>
              <w:jc w:val="center"/>
              <w:rPr>
                <w:b/>
                <w:sz w:val="24"/>
                <w:szCs w:val="24"/>
              </w:rPr>
            </w:pPr>
            <w:r>
              <w:rPr>
                <w:b/>
                <w:sz w:val="24"/>
                <w:szCs w:val="24"/>
              </w:rPr>
              <w:t>Пункт, статья</w:t>
            </w:r>
          </w:p>
        </w:tc>
        <w:tc>
          <w:tcPr>
            <w:tcW w:w="12172" w:type="dxa"/>
          </w:tcPr>
          <w:p w:rsidR="004D33BB" w:rsidRDefault="006B3F49" w:rsidP="006B3F49">
            <w:pPr>
              <w:jc w:val="center"/>
              <w:rPr>
                <w:b/>
                <w:sz w:val="24"/>
                <w:szCs w:val="24"/>
              </w:rPr>
            </w:pPr>
            <w:r w:rsidRPr="004D33BB">
              <w:rPr>
                <w:b/>
                <w:sz w:val="24"/>
                <w:szCs w:val="24"/>
              </w:rPr>
              <w:t xml:space="preserve">Содержание положения </w:t>
            </w:r>
          </w:p>
          <w:p w:rsidR="006B3F49" w:rsidRDefault="006B3F49" w:rsidP="006B3F49">
            <w:pPr>
              <w:jc w:val="center"/>
              <w:rPr>
                <w:b/>
                <w:sz w:val="24"/>
                <w:szCs w:val="24"/>
              </w:rPr>
            </w:pPr>
            <w:r w:rsidRPr="004D33BB">
              <w:rPr>
                <w:b/>
                <w:sz w:val="24"/>
                <w:szCs w:val="24"/>
              </w:rPr>
              <w:t>нормативного правового акта</w:t>
            </w:r>
          </w:p>
          <w:p w:rsidR="004D33BB" w:rsidRPr="004D33BB" w:rsidRDefault="004D33BB" w:rsidP="006B3F49">
            <w:pPr>
              <w:jc w:val="center"/>
              <w:rPr>
                <w:b/>
                <w:sz w:val="24"/>
                <w:szCs w:val="24"/>
              </w:rPr>
            </w:pP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4D33BB">
        <w:tc>
          <w:tcPr>
            <w:tcW w:w="560" w:type="dxa"/>
          </w:tcPr>
          <w:p w:rsidR="006B3F49" w:rsidRPr="00C04269" w:rsidRDefault="00C04269" w:rsidP="006B3F49">
            <w:pPr>
              <w:rPr>
                <w:sz w:val="24"/>
                <w:szCs w:val="24"/>
              </w:rPr>
            </w:pPr>
            <w:r>
              <w:rPr>
                <w:sz w:val="24"/>
                <w:szCs w:val="24"/>
              </w:rPr>
              <w:t>1</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72"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4D33BB">
        <w:tc>
          <w:tcPr>
            <w:tcW w:w="560" w:type="dxa"/>
          </w:tcPr>
          <w:p w:rsidR="006B3F49" w:rsidRPr="00C04269" w:rsidRDefault="00C04269" w:rsidP="006B3F49">
            <w:pPr>
              <w:rPr>
                <w:sz w:val="24"/>
                <w:szCs w:val="24"/>
              </w:rPr>
            </w:pPr>
            <w:r>
              <w:rPr>
                <w:sz w:val="24"/>
                <w:szCs w:val="24"/>
              </w:rPr>
              <w:t>2</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72"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4D33BB">
        <w:tc>
          <w:tcPr>
            <w:tcW w:w="560" w:type="dxa"/>
          </w:tcPr>
          <w:p w:rsidR="006B3F49" w:rsidRPr="00C04269" w:rsidRDefault="00C04269" w:rsidP="006B3F49">
            <w:pPr>
              <w:rPr>
                <w:sz w:val="24"/>
                <w:szCs w:val="24"/>
              </w:rPr>
            </w:pPr>
            <w:r>
              <w:rPr>
                <w:sz w:val="24"/>
                <w:szCs w:val="24"/>
              </w:rPr>
              <w:t>3</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72"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4D33BB">
        <w:tc>
          <w:tcPr>
            <w:tcW w:w="560" w:type="dxa"/>
          </w:tcPr>
          <w:p w:rsidR="006B3F49" w:rsidRPr="00C04269" w:rsidRDefault="00C04269" w:rsidP="006B3F49">
            <w:pPr>
              <w:rPr>
                <w:sz w:val="24"/>
                <w:szCs w:val="24"/>
              </w:rPr>
            </w:pPr>
            <w:r>
              <w:rPr>
                <w:sz w:val="24"/>
                <w:szCs w:val="24"/>
              </w:rPr>
              <w:t>4</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72"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4D33BB">
        <w:tc>
          <w:tcPr>
            <w:tcW w:w="560" w:type="dxa"/>
          </w:tcPr>
          <w:p w:rsidR="006B3F49" w:rsidRPr="00C04269" w:rsidRDefault="00C04269" w:rsidP="006B3F49">
            <w:pPr>
              <w:rPr>
                <w:sz w:val="24"/>
                <w:szCs w:val="24"/>
              </w:rPr>
            </w:pPr>
            <w:r>
              <w:rPr>
                <w:sz w:val="24"/>
                <w:szCs w:val="24"/>
              </w:rPr>
              <w:t>5</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6</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4D33BB">
        <w:tc>
          <w:tcPr>
            <w:tcW w:w="560" w:type="dxa"/>
          </w:tcPr>
          <w:p w:rsidR="006B3F49" w:rsidRPr="00C04269" w:rsidRDefault="00C04269" w:rsidP="006B3F49">
            <w:pPr>
              <w:rPr>
                <w:sz w:val="24"/>
                <w:szCs w:val="24"/>
              </w:rPr>
            </w:pPr>
            <w:r>
              <w:rPr>
                <w:sz w:val="24"/>
                <w:szCs w:val="24"/>
              </w:rPr>
              <w:t>7</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4D33BB">
        <w:tc>
          <w:tcPr>
            <w:tcW w:w="560" w:type="dxa"/>
          </w:tcPr>
          <w:p w:rsidR="006B3F49" w:rsidRPr="00C04269" w:rsidRDefault="00C04269" w:rsidP="006B3F49">
            <w:pPr>
              <w:rPr>
                <w:sz w:val="24"/>
                <w:szCs w:val="24"/>
              </w:rPr>
            </w:pPr>
            <w:r>
              <w:rPr>
                <w:sz w:val="24"/>
                <w:szCs w:val="24"/>
              </w:rPr>
              <w:t>8</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9</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4D33BB">
        <w:tc>
          <w:tcPr>
            <w:tcW w:w="560" w:type="dxa"/>
          </w:tcPr>
          <w:p w:rsidR="006B3F49" w:rsidRPr="00C04269" w:rsidRDefault="00C04269" w:rsidP="006B3F49">
            <w:pPr>
              <w:rPr>
                <w:sz w:val="24"/>
                <w:szCs w:val="24"/>
              </w:rPr>
            </w:pPr>
            <w:r>
              <w:rPr>
                <w:sz w:val="24"/>
                <w:szCs w:val="24"/>
              </w:rPr>
              <w:t>10</w:t>
            </w:r>
          </w:p>
        </w:tc>
        <w:tc>
          <w:tcPr>
            <w:tcW w:w="2402" w:type="dxa"/>
          </w:tcPr>
          <w:p w:rsidR="004D33BB"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подпункт 4 </w:t>
            </w:r>
          </w:p>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пункта 2 статьи 60</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4D33BB">
        <w:tc>
          <w:tcPr>
            <w:tcW w:w="560" w:type="dxa"/>
          </w:tcPr>
          <w:p w:rsidR="006B3F49" w:rsidRPr="00C04269" w:rsidRDefault="00C04269" w:rsidP="006B3F49">
            <w:pPr>
              <w:rPr>
                <w:sz w:val="24"/>
                <w:szCs w:val="24"/>
              </w:rPr>
            </w:pPr>
            <w:r>
              <w:rPr>
                <w:sz w:val="24"/>
                <w:szCs w:val="24"/>
              </w:rPr>
              <w:t>11</w:t>
            </w:r>
          </w:p>
        </w:tc>
        <w:tc>
          <w:tcPr>
            <w:tcW w:w="2402"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C04269">
              <w:rPr>
                <w:rFonts w:eastAsia="Times New Roman"/>
                <w:sz w:val="24"/>
                <w:szCs w:val="24"/>
                <w:lang w:eastAsia="ru-RU"/>
              </w:rPr>
              <w:t>аквакультуры</w:t>
            </w:r>
            <w:proofErr w:type="spellEnd"/>
            <w:r w:rsidRPr="00C04269">
              <w:rPr>
                <w:rFonts w:eastAsia="Times New Roman"/>
                <w:sz w:val="24"/>
                <w:szCs w:val="24"/>
                <w:lang w:eastAsia="ru-RU"/>
              </w:rPr>
              <w:t xml:space="preserve"> (рыбоводства):</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12</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tc>
      </w:tr>
      <w:tr w:rsidR="006B3F49" w:rsidRPr="00C04269" w:rsidTr="004D33BB">
        <w:tc>
          <w:tcPr>
            <w:tcW w:w="560" w:type="dxa"/>
          </w:tcPr>
          <w:p w:rsidR="006B3F49" w:rsidRPr="00C04269" w:rsidRDefault="00C04269" w:rsidP="006B3F49">
            <w:pPr>
              <w:rPr>
                <w:sz w:val="24"/>
                <w:szCs w:val="24"/>
              </w:rPr>
            </w:pPr>
            <w:r>
              <w:rPr>
                <w:sz w:val="24"/>
                <w:szCs w:val="24"/>
              </w:rPr>
              <w:t>13</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14</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lastRenderedPageBreak/>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15</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4D33BB">
        <w:tc>
          <w:tcPr>
            <w:tcW w:w="560" w:type="dxa"/>
          </w:tcPr>
          <w:p w:rsidR="006B3F49" w:rsidRPr="00C04269" w:rsidRDefault="00C04269" w:rsidP="006B3F49">
            <w:pPr>
              <w:rPr>
                <w:sz w:val="24"/>
                <w:szCs w:val="24"/>
              </w:rPr>
            </w:pPr>
            <w:r>
              <w:rPr>
                <w:sz w:val="24"/>
                <w:szCs w:val="24"/>
              </w:rPr>
              <w:t>16</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w:t>
            </w:r>
            <w:r w:rsidRPr="00C04269">
              <w:rPr>
                <w:rFonts w:eastAsia="Times New Roman"/>
                <w:sz w:val="24"/>
                <w:szCs w:val="24"/>
                <w:lang w:eastAsia="ru-RU"/>
              </w:rPr>
              <w:lastRenderedPageBreak/>
              <w:t>надзору</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17</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установления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C04269">
              <w:rPr>
                <w:rFonts w:eastAsia="Times New Roman"/>
                <w:sz w:val="24"/>
                <w:szCs w:val="24"/>
                <w:lang w:eastAsia="ru-RU"/>
              </w:rPr>
              <w:t xml:space="preserve">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w:t>
            </w:r>
            <w:r w:rsidRPr="00C04269">
              <w:rPr>
                <w:rFonts w:eastAsia="Times New Roman"/>
                <w:sz w:val="24"/>
                <w:szCs w:val="24"/>
                <w:lang w:eastAsia="ru-RU"/>
              </w:rPr>
              <w:lastRenderedPageBreak/>
              <w:t xml:space="preserve">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C04269">
              <w:rPr>
                <w:rFonts w:eastAsia="Times New Roman"/>
                <w:sz w:val="24"/>
                <w:szCs w:val="24"/>
                <w:lang w:eastAsia="ru-RU"/>
              </w:rPr>
              <w:t>строительство</w:t>
            </w:r>
            <w:proofErr w:type="gramEnd"/>
            <w:r w:rsidRPr="00C04269">
              <w:rPr>
                <w:rFonts w:eastAsia="Times New Roman"/>
                <w:sz w:val="24"/>
                <w:szCs w:val="24"/>
                <w:lang w:eastAsia="ru-RU"/>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18</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связи, радиовещания, телевидения, информатики признаются земли, которые используются или </w:t>
            </w:r>
            <w:r w:rsidRPr="00C04269">
              <w:rPr>
                <w:rFonts w:eastAsia="Times New Roman"/>
                <w:sz w:val="24"/>
                <w:szCs w:val="24"/>
                <w:lang w:eastAsia="ru-RU"/>
              </w:rPr>
              <w:lastRenderedPageBreak/>
              <w:t>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19</w:t>
            </w:r>
          </w:p>
        </w:tc>
        <w:tc>
          <w:tcPr>
            <w:tcW w:w="2402"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C04269">
              <w:rPr>
                <w:rFonts w:eastAsia="Times New Roman"/>
                <w:sz w:val="24"/>
                <w:szCs w:val="24"/>
                <w:lang w:eastAsia="ru-RU"/>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4D33BB">
        <w:tc>
          <w:tcPr>
            <w:tcW w:w="560" w:type="dxa"/>
          </w:tcPr>
          <w:p w:rsidR="006B3F49" w:rsidRPr="00C04269" w:rsidRDefault="00C04269" w:rsidP="006B3F49">
            <w:pPr>
              <w:rPr>
                <w:sz w:val="24"/>
                <w:szCs w:val="24"/>
              </w:rPr>
            </w:pPr>
            <w:r>
              <w:rPr>
                <w:sz w:val="24"/>
                <w:szCs w:val="24"/>
              </w:rPr>
              <w:t>20</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C04269">
              <w:rPr>
                <w:rFonts w:eastAsia="Times New Roman"/>
                <w:sz w:val="24"/>
                <w:szCs w:val="24"/>
                <w:lang w:eastAsia="ru-RU"/>
              </w:rPr>
              <w:t xml:space="preserve">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строительства, подготовки и поддержания в необходимой готовности Вооруженных Сил Российской </w:t>
            </w:r>
            <w:r w:rsidRPr="00C04269">
              <w:rPr>
                <w:rFonts w:eastAsia="Times New Roman"/>
                <w:sz w:val="24"/>
                <w:szCs w:val="24"/>
                <w:lang w:eastAsia="ru-RU"/>
              </w:rPr>
              <w:lastRenderedPageBreak/>
              <w:t>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5.1. </w:t>
            </w:r>
            <w:proofErr w:type="gramStart"/>
            <w:r w:rsidRPr="00C04269">
              <w:rPr>
                <w:rFonts w:eastAsia="Times New Roman"/>
                <w:sz w:val="24"/>
                <w:szCs w:val="24"/>
                <w:lang w:eastAsia="ru-RU"/>
              </w:rPr>
              <w:t>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условиях чрезвычайного или военного положения использование земельных участков для нужд обороны и </w:t>
            </w:r>
            <w:r w:rsidRPr="00C04269">
              <w:rPr>
                <w:rFonts w:eastAsia="Times New Roman"/>
                <w:sz w:val="24"/>
                <w:szCs w:val="24"/>
                <w:lang w:eastAsia="ru-RU"/>
              </w:rPr>
              <w:lastRenderedPageBreak/>
              <w:t>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21</w:t>
            </w:r>
          </w:p>
        </w:tc>
        <w:tc>
          <w:tcPr>
            <w:tcW w:w="2402"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4D33BB">
        <w:tc>
          <w:tcPr>
            <w:tcW w:w="560" w:type="dxa"/>
          </w:tcPr>
          <w:p w:rsidR="006B3F49" w:rsidRPr="00C04269" w:rsidRDefault="00C04269" w:rsidP="006B3F49">
            <w:pPr>
              <w:rPr>
                <w:sz w:val="24"/>
                <w:szCs w:val="24"/>
              </w:rPr>
            </w:pPr>
            <w:r>
              <w:rPr>
                <w:sz w:val="24"/>
                <w:szCs w:val="24"/>
              </w:rPr>
              <w:t>22</w:t>
            </w:r>
          </w:p>
        </w:tc>
        <w:tc>
          <w:tcPr>
            <w:tcW w:w="2402"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4D33BB">
        <w:tc>
          <w:tcPr>
            <w:tcW w:w="560" w:type="dxa"/>
          </w:tcPr>
          <w:p w:rsidR="006B3F49" w:rsidRPr="00C04269" w:rsidRDefault="00C04269" w:rsidP="006B3F49">
            <w:pPr>
              <w:rPr>
                <w:sz w:val="24"/>
                <w:szCs w:val="24"/>
              </w:rPr>
            </w:pPr>
            <w:r>
              <w:rPr>
                <w:sz w:val="24"/>
                <w:szCs w:val="24"/>
              </w:rPr>
              <w:t>23</w:t>
            </w:r>
          </w:p>
        </w:tc>
        <w:tc>
          <w:tcPr>
            <w:tcW w:w="2402"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4D33BB">
        <w:tc>
          <w:tcPr>
            <w:tcW w:w="560" w:type="dxa"/>
          </w:tcPr>
          <w:p w:rsidR="006B3F49" w:rsidRPr="00C04269" w:rsidRDefault="00C04269" w:rsidP="006B3F49">
            <w:pPr>
              <w:rPr>
                <w:sz w:val="24"/>
                <w:szCs w:val="24"/>
              </w:rPr>
            </w:pPr>
            <w:r>
              <w:rPr>
                <w:sz w:val="24"/>
                <w:szCs w:val="24"/>
              </w:rPr>
              <w:t>24</w:t>
            </w:r>
          </w:p>
        </w:tc>
        <w:tc>
          <w:tcPr>
            <w:tcW w:w="2402"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72"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Земельные участки, отнесенные к землям историко-культурного назначения, у собственников земельных </w:t>
            </w:r>
            <w:r w:rsidRPr="00C04269">
              <w:rPr>
                <w:rFonts w:eastAsia="Times New Roman"/>
                <w:sz w:val="24"/>
                <w:szCs w:val="24"/>
                <w:lang w:eastAsia="ru-RU"/>
              </w:rPr>
              <w:lastRenderedPageBreak/>
              <w:t>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25</w:t>
            </w:r>
          </w:p>
        </w:tc>
        <w:tc>
          <w:tcPr>
            <w:tcW w:w="2402"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72"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4D33BB">
        <w:tc>
          <w:tcPr>
            <w:tcW w:w="560" w:type="dxa"/>
          </w:tcPr>
          <w:p w:rsidR="006B3F49" w:rsidRPr="00C04269" w:rsidRDefault="00C04269" w:rsidP="006B3F49">
            <w:pPr>
              <w:rPr>
                <w:sz w:val="24"/>
                <w:szCs w:val="24"/>
              </w:rPr>
            </w:pPr>
            <w:r>
              <w:rPr>
                <w:sz w:val="24"/>
                <w:szCs w:val="24"/>
              </w:rPr>
              <w:t>26</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w:t>
            </w:r>
            <w:r w:rsidRPr="00C04269">
              <w:rPr>
                <w:rFonts w:eastAsia="Times New Roman"/>
                <w:sz w:val="24"/>
                <w:szCs w:val="24"/>
                <w:lang w:eastAsia="ru-RU"/>
              </w:rPr>
              <w:lastRenderedPageBreak/>
              <w:t>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27</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6B3F49" w:rsidRPr="00C04269" w:rsidTr="004D33BB">
        <w:tc>
          <w:tcPr>
            <w:tcW w:w="560" w:type="dxa"/>
          </w:tcPr>
          <w:p w:rsidR="006B3F49" w:rsidRPr="00C04269" w:rsidRDefault="00C04269" w:rsidP="006B3F49">
            <w:pPr>
              <w:rPr>
                <w:sz w:val="24"/>
                <w:szCs w:val="24"/>
              </w:rPr>
            </w:pPr>
            <w:r>
              <w:rPr>
                <w:sz w:val="24"/>
                <w:szCs w:val="24"/>
              </w:rPr>
              <w:t>28</w:t>
            </w:r>
          </w:p>
        </w:tc>
        <w:tc>
          <w:tcPr>
            <w:tcW w:w="2402"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1. Продажа земельных участков, находящихся в государственной или муниципальной собственности, </w:t>
            </w:r>
            <w:r w:rsidRPr="00C04269">
              <w:rPr>
                <w:rFonts w:eastAsia="Times New Roman"/>
                <w:sz w:val="24"/>
                <w:szCs w:val="24"/>
                <w:lang w:eastAsia="ru-RU"/>
              </w:rPr>
              <w:lastRenderedPageBreak/>
              <w:t>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w:t>
            </w:r>
            <w:r w:rsidRPr="00C04269">
              <w:rPr>
                <w:rFonts w:eastAsia="Times New Roman"/>
                <w:sz w:val="24"/>
                <w:szCs w:val="24"/>
                <w:lang w:eastAsia="ru-RU"/>
              </w:rPr>
              <w:lastRenderedPageBreak/>
              <w:t>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4269">
              <w:rPr>
                <w:rFonts w:eastAsia="Times New Roman"/>
                <w:sz w:val="24"/>
                <w:szCs w:val="24"/>
                <w:lang w:eastAsia="ru-RU"/>
              </w:rPr>
              <w:t>истечения срока указанного договора аренды земельного участка</w:t>
            </w:r>
            <w:proofErr w:type="gram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29</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муниципально-частном</w:t>
            </w:r>
            <w:proofErr w:type="spellEnd"/>
            <w:r w:rsidRPr="00C04269">
              <w:rPr>
                <w:rFonts w:eastAsia="Times New Roman"/>
                <w:sz w:val="24"/>
                <w:szCs w:val="24"/>
                <w:lang w:eastAsia="ru-RU"/>
              </w:rPr>
              <w:t xml:space="preserve">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23.1) земельного участка для освоения территории в целях строительства и эксплуатации наемного дома </w:t>
            </w:r>
            <w:r w:rsidRPr="00C04269">
              <w:rPr>
                <w:rFonts w:eastAsia="Times New Roman"/>
                <w:sz w:val="24"/>
                <w:szCs w:val="24"/>
                <w:lang w:eastAsia="ru-RU"/>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w:t>
            </w:r>
            <w:r w:rsidRPr="00C04269">
              <w:rPr>
                <w:rFonts w:eastAsia="Times New Roman"/>
                <w:sz w:val="24"/>
                <w:szCs w:val="24"/>
                <w:lang w:eastAsia="ru-RU"/>
              </w:rPr>
              <w:lastRenderedPageBreak/>
              <w:t>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30</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4D33BB">
        <w:tc>
          <w:tcPr>
            <w:tcW w:w="560" w:type="dxa"/>
          </w:tcPr>
          <w:p w:rsidR="006B3F49" w:rsidRPr="00C04269" w:rsidRDefault="00C04269" w:rsidP="006B3F49">
            <w:pPr>
              <w:rPr>
                <w:sz w:val="24"/>
                <w:szCs w:val="24"/>
              </w:rPr>
            </w:pPr>
            <w:r>
              <w:rPr>
                <w:sz w:val="24"/>
                <w:szCs w:val="24"/>
              </w:rPr>
              <w:t>31</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гражданину для индивидуального жилищного строительства, ведения личного подсобного хозяйства или </w:t>
            </w:r>
            <w:r w:rsidRPr="00C04269">
              <w:rPr>
                <w:rFonts w:eastAsia="Times New Roman"/>
                <w:sz w:val="24"/>
                <w:szCs w:val="24"/>
                <w:lang w:eastAsia="ru-RU"/>
              </w:rPr>
              <w:lastRenderedPageBreak/>
              <w:t>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32</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4D33BB">
        <w:tc>
          <w:tcPr>
            <w:tcW w:w="560" w:type="dxa"/>
          </w:tcPr>
          <w:p w:rsidR="006B3F49" w:rsidRPr="00C04269" w:rsidRDefault="00C04269" w:rsidP="006B3F49">
            <w:pPr>
              <w:rPr>
                <w:sz w:val="24"/>
                <w:szCs w:val="24"/>
              </w:rPr>
            </w:pPr>
            <w:r>
              <w:rPr>
                <w:sz w:val="24"/>
                <w:szCs w:val="24"/>
              </w:rPr>
              <w:t>33</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6B3F49" w:rsidRPr="00C04269" w:rsidTr="004D33BB">
        <w:tc>
          <w:tcPr>
            <w:tcW w:w="560" w:type="dxa"/>
          </w:tcPr>
          <w:p w:rsidR="006B3F49" w:rsidRPr="00C04269" w:rsidRDefault="00C04269" w:rsidP="006B3F49">
            <w:pPr>
              <w:rPr>
                <w:sz w:val="24"/>
                <w:szCs w:val="24"/>
              </w:rPr>
            </w:pPr>
            <w:r>
              <w:rPr>
                <w:sz w:val="24"/>
                <w:szCs w:val="24"/>
              </w:rPr>
              <w:t>34</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C04269">
              <w:rPr>
                <w:rFonts w:eastAsia="Times New Roman"/>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4269">
              <w:rPr>
                <w:rFonts w:eastAsia="Times New Roman"/>
                <w:sz w:val="24"/>
                <w:szCs w:val="24"/>
                <w:lang w:eastAsia="ru-RU"/>
              </w:rPr>
              <w:t xml:space="preserve">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C04269">
              <w:rPr>
                <w:rFonts w:eastAsia="Times New Roman"/>
                <w:sz w:val="24"/>
                <w:szCs w:val="24"/>
                <w:lang w:eastAsia="ru-RU"/>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35</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w:t>
            </w:r>
            <w:r w:rsidRPr="00C04269">
              <w:rPr>
                <w:rFonts w:eastAsia="Times New Roman"/>
                <w:sz w:val="24"/>
                <w:szCs w:val="24"/>
                <w:lang w:eastAsia="ru-RU"/>
              </w:rPr>
              <w:lastRenderedPageBreak/>
              <w:t>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36</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4D33BB">
        <w:tc>
          <w:tcPr>
            <w:tcW w:w="560" w:type="dxa"/>
          </w:tcPr>
          <w:p w:rsidR="006B3F49" w:rsidRPr="00C04269" w:rsidRDefault="00C04269" w:rsidP="006B3F49">
            <w:pPr>
              <w:rPr>
                <w:sz w:val="24"/>
                <w:szCs w:val="24"/>
              </w:rPr>
            </w:pPr>
            <w:r>
              <w:rPr>
                <w:sz w:val="24"/>
                <w:szCs w:val="24"/>
              </w:rPr>
              <w:t>37</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w:t>
            </w:r>
            <w:r w:rsidRPr="00C04269">
              <w:rPr>
                <w:rFonts w:eastAsia="Times New Roman"/>
                <w:sz w:val="24"/>
                <w:szCs w:val="24"/>
                <w:lang w:eastAsia="ru-RU"/>
              </w:rPr>
              <w:lastRenderedPageBreak/>
              <w:t>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w:t>
            </w:r>
            <w:proofErr w:type="gramStart"/>
            <w:r w:rsidRPr="00C04269">
              <w:rPr>
                <w:rFonts w:eastAsia="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w:t>
            </w:r>
            <w:proofErr w:type="gramStart"/>
            <w:r w:rsidRPr="00C04269">
              <w:rPr>
                <w:rFonts w:eastAsia="Times New Roman"/>
                <w:sz w:val="24"/>
                <w:szCs w:val="24"/>
                <w:lang w:eastAsia="ru-RU"/>
              </w:rPr>
              <w:t>направления проекта договора аренды земельного участка</w:t>
            </w:r>
            <w:proofErr w:type="gramEnd"/>
            <w:r w:rsidRPr="00C04269">
              <w:rPr>
                <w:rFonts w:eastAsia="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10. </w:t>
            </w:r>
            <w:proofErr w:type="gramStart"/>
            <w:r w:rsidRPr="00C04269">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38</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строительство автомобильных дорог, трубопроводов, линий электропередачи и других коммуникаций, а </w:t>
            </w:r>
            <w:r w:rsidRPr="00C04269">
              <w:rPr>
                <w:rFonts w:eastAsia="Times New Roman"/>
                <w:sz w:val="24"/>
                <w:szCs w:val="24"/>
                <w:lang w:eastAsia="ru-RU"/>
              </w:rPr>
              <w:lastRenderedPageBreak/>
              <w:t>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4D33BB">
        <w:tc>
          <w:tcPr>
            <w:tcW w:w="560" w:type="dxa"/>
          </w:tcPr>
          <w:p w:rsidR="006B3F49" w:rsidRPr="00C04269" w:rsidRDefault="00C04269" w:rsidP="006B3F49">
            <w:pPr>
              <w:rPr>
                <w:sz w:val="24"/>
                <w:szCs w:val="24"/>
              </w:rPr>
            </w:pPr>
            <w:r>
              <w:rPr>
                <w:sz w:val="24"/>
                <w:szCs w:val="24"/>
              </w:rPr>
              <w:lastRenderedPageBreak/>
              <w:t>39</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72"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4D33BB">
        <w:tc>
          <w:tcPr>
            <w:tcW w:w="560" w:type="dxa"/>
          </w:tcPr>
          <w:p w:rsidR="006B3F49" w:rsidRPr="00C04269" w:rsidRDefault="00C04269" w:rsidP="006B3F49">
            <w:pPr>
              <w:rPr>
                <w:sz w:val="24"/>
                <w:szCs w:val="24"/>
              </w:rPr>
            </w:pPr>
            <w:r>
              <w:rPr>
                <w:sz w:val="24"/>
                <w:szCs w:val="24"/>
              </w:rPr>
              <w:t>4</w:t>
            </w:r>
            <w:r w:rsidR="004D33BB">
              <w:rPr>
                <w:sz w:val="24"/>
                <w:szCs w:val="24"/>
              </w:rPr>
              <w:t>0</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72"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4D33BB">
        <w:tc>
          <w:tcPr>
            <w:tcW w:w="560" w:type="dxa"/>
          </w:tcPr>
          <w:p w:rsidR="006B3F49" w:rsidRPr="00C04269" w:rsidRDefault="00C04269" w:rsidP="004D33BB">
            <w:pPr>
              <w:rPr>
                <w:sz w:val="24"/>
                <w:szCs w:val="24"/>
              </w:rPr>
            </w:pPr>
            <w:r>
              <w:rPr>
                <w:sz w:val="24"/>
                <w:szCs w:val="24"/>
              </w:rPr>
              <w:t>4</w:t>
            </w:r>
            <w:r w:rsidR="004D33BB">
              <w:rPr>
                <w:sz w:val="24"/>
                <w:szCs w:val="24"/>
              </w:rPr>
              <w:t>1</w:t>
            </w:r>
          </w:p>
        </w:tc>
        <w:tc>
          <w:tcPr>
            <w:tcW w:w="2402"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72"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3" w:name="dst1"/>
            <w:bookmarkStart w:id="4" w:name="dst2"/>
            <w:bookmarkEnd w:id="3"/>
            <w:bookmarkEnd w:id="4"/>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5" w:name="dst100253"/>
            <w:bookmarkEnd w:id="5"/>
            <w:proofErr w:type="gramStart"/>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размеры</w:t>
            </w:r>
            <w:proofErr w:type="gramEnd"/>
            <w:r w:rsidRPr="00C04269">
              <w:rPr>
                <w:rFonts w:eastAsia="Times New Roman"/>
                <w:sz w:val="24"/>
                <w:szCs w:val="24"/>
                <w:lang w:eastAsia="ru-RU"/>
              </w:rPr>
              <w:t xml:space="preserve">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6" w:name="dst133"/>
            <w:bookmarkEnd w:id="6"/>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7" w:name="dst100175"/>
            <w:bookmarkEnd w:id="7"/>
            <w:r w:rsidRPr="00C04269">
              <w:rPr>
                <w:rFonts w:eastAsia="Times New Roman"/>
                <w:sz w:val="24"/>
                <w:szCs w:val="24"/>
                <w:lang w:eastAsia="ru-RU"/>
              </w:rPr>
              <w:lastRenderedPageBreak/>
              <w:t xml:space="preserve">2. </w:t>
            </w:r>
            <w:proofErr w:type="gramStart"/>
            <w:r w:rsidRPr="00C04269">
              <w:rPr>
                <w:rFonts w:eastAsia="Times New Roman"/>
                <w:sz w:val="24"/>
                <w:szCs w:val="24"/>
                <w:lang w:eastAsia="ru-RU"/>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tc>
      </w:tr>
      <w:tr w:rsidR="006B3F49" w:rsidRPr="00C04269" w:rsidTr="004D33BB">
        <w:tc>
          <w:tcPr>
            <w:tcW w:w="560" w:type="dxa"/>
          </w:tcPr>
          <w:p w:rsidR="006B3F49" w:rsidRPr="00C04269" w:rsidRDefault="00C04269" w:rsidP="004D33BB">
            <w:pPr>
              <w:rPr>
                <w:sz w:val="24"/>
                <w:szCs w:val="24"/>
              </w:rPr>
            </w:pPr>
            <w:r>
              <w:rPr>
                <w:sz w:val="24"/>
                <w:szCs w:val="24"/>
              </w:rPr>
              <w:lastRenderedPageBreak/>
              <w:t>4</w:t>
            </w:r>
            <w:r w:rsidR="004D33BB">
              <w:rPr>
                <w:sz w:val="24"/>
                <w:szCs w:val="24"/>
              </w:rPr>
              <w:t>2</w:t>
            </w:r>
          </w:p>
        </w:tc>
        <w:tc>
          <w:tcPr>
            <w:tcW w:w="2402"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72"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243"/>
            <w:bookmarkEnd w:id="8"/>
            <w:r w:rsidRPr="00C04269">
              <w:rPr>
                <w:rFonts w:eastAsia="Times New Roman"/>
                <w:sz w:val="24"/>
                <w:szCs w:val="24"/>
                <w:lang w:eastAsia="ru-RU"/>
              </w:rPr>
              <w:t xml:space="preserve">2. </w:t>
            </w:r>
            <w:proofErr w:type="gramStart"/>
            <w:r w:rsidRPr="00C04269">
              <w:rPr>
                <w:rFonts w:eastAsia="Times New Roman"/>
                <w:sz w:val="24"/>
                <w:szCs w:val="24"/>
                <w:lang w:eastAsia="ru-RU"/>
              </w:rP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9" w:name="dst115"/>
            <w:bookmarkEnd w:id="9"/>
            <w:r w:rsidRPr="00C04269">
              <w:rPr>
                <w:rFonts w:eastAsia="Times New Roman"/>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10" w:name="dst116"/>
            <w:bookmarkEnd w:id="10"/>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061"/>
            <w:bookmarkEnd w:id="11"/>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62"/>
            <w:bookmarkEnd w:id="12"/>
            <w:r w:rsidRPr="00C04269">
              <w:rPr>
                <w:rFonts w:eastAsia="Times New Roman"/>
                <w:sz w:val="24"/>
                <w:szCs w:val="24"/>
                <w:lang w:eastAsia="ru-RU"/>
              </w:rPr>
              <w:t>5.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188"/>
            <w:bookmarkStart w:id="14" w:name="dst100189"/>
            <w:bookmarkEnd w:id="13"/>
            <w:bookmarkEnd w:id="14"/>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4D33BB">
      <w:headerReference w:type="default" r:id="rId7"/>
      <w:pgSz w:w="16838" w:h="11906" w:orient="landscape"/>
      <w:pgMar w:top="993"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7D" w:rsidRDefault="001D297D" w:rsidP="006B3F49">
      <w:r>
        <w:separator/>
      </w:r>
    </w:p>
  </w:endnote>
  <w:endnote w:type="continuationSeparator" w:id="0">
    <w:p w:rsidR="001D297D" w:rsidRDefault="001D297D"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7D" w:rsidRDefault="001D297D" w:rsidP="006B3F49">
      <w:r>
        <w:separator/>
      </w:r>
    </w:p>
  </w:footnote>
  <w:footnote w:type="continuationSeparator" w:id="0">
    <w:p w:rsidR="001D297D" w:rsidRDefault="001D297D"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6B3F49" w:rsidRPr="006B3F49" w:rsidRDefault="006A2CF7">
        <w:pPr>
          <w:pStyle w:val="a6"/>
          <w:jc w:val="center"/>
          <w:rPr>
            <w:sz w:val="24"/>
            <w:szCs w:val="24"/>
          </w:rPr>
        </w:pPr>
        <w:r w:rsidRPr="006B3F49">
          <w:rPr>
            <w:sz w:val="24"/>
            <w:szCs w:val="24"/>
          </w:rPr>
          <w:fldChar w:fldCharType="begin"/>
        </w:r>
        <w:r w:rsidR="006B3F49" w:rsidRPr="006B3F49">
          <w:rPr>
            <w:sz w:val="24"/>
            <w:szCs w:val="24"/>
          </w:rPr>
          <w:instrText>PAGE   \* MERGEFORMAT</w:instrText>
        </w:r>
        <w:r w:rsidRPr="006B3F49">
          <w:rPr>
            <w:sz w:val="24"/>
            <w:szCs w:val="24"/>
          </w:rPr>
          <w:fldChar w:fldCharType="separate"/>
        </w:r>
        <w:r w:rsidR="004D33BB">
          <w:rPr>
            <w:noProof/>
            <w:sz w:val="24"/>
            <w:szCs w:val="24"/>
          </w:rPr>
          <w:t>2</w:t>
        </w:r>
        <w:r w:rsidRPr="006B3F49">
          <w:rPr>
            <w:sz w:val="24"/>
            <w:szCs w:val="24"/>
          </w:rPr>
          <w:fldChar w:fldCharType="end"/>
        </w:r>
      </w:p>
    </w:sdtContent>
  </w:sdt>
  <w:p w:rsidR="006B3F49" w:rsidRDefault="006B3F4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297D"/>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33B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A2CF7"/>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CB87-E22E-44A7-98A3-6ADEBD6F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13985</Words>
  <Characters>79716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Пользователь Windows</cp:lastModifiedBy>
  <cp:revision>3</cp:revision>
  <dcterms:created xsi:type="dcterms:W3CDTF">2016-12-26T06:37:00Z</dcterms:created>
  <dcterms:modified xsi:type="dcterms:W3CDTF">2018-07-11T04:57:00Z</dcterms:modified>
</cp:coreProperties>
</file>