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left="10773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Утверждена</w:t>
      </w:r>
    </w:p>
    <w:p w14:paraId="02000000">
      <w:pPr>
        <w:ind w:left="10773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03000000">
      <w:pPr>
        <w:ind w:left="10773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Увельского муниципального округа</w:t>
      </w:r>
    </w:p>
    <w:p w14:paraId="04000000">
      <w:pPr>
        <w:ind w:left="10773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Челябинской области</w:t>
      </w:r>
    </w:p>
    <w:p w14:paraId="05000000">
      <w:pPr>
        <w:ind w:left="10773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«01» июля 2026 г. №1386</w:t>
      </w:r>
    </w:p>
    <w:p w14:paraId="06000000">
      <w:pPr>
        <w:ind/>
        <w:outlineLvl w:val="1"/>
        <w:rPr>
          <w:rFonts w:ascii="Times New Roman" w:hAnsi="Times New Roman"/>
          <w:sz w:val="28"/>
        </w:rPr>
      </w:pPr>
    </w:p>
    <w:p w14:paraId="07000000">
      <w:pPr>
        <w:ind/>
        <w:outlineLvl w:val="1"/>
        <w:rPr>
          <w:rFonts w:ascii="Times New Roman" w:hAnsi="Times New Roman"/>
          <w:sz w:val="28"/>
        </w:rPr>
      </w:pPr>
    </w:p>
    <w:p w14:paraId="08000000">
      <w:pPr>
        <w:ind w:firstLine="709" w:left="-709"/>
        <w:jc w:val="center"/>
        <w:rPr>
          <w:rFonts w:ascii="Times New Roman" w:hAnsi="Times New Roman"/>
          <w:spacing w:val="2"/>
          <w:sz w:val="28"/>
        </w:rPr>
      </w:pPr>
    </w:p>
    <w:p w14:paraId="09000000">
      <w:pPr>
        <w:ind w:firstLine="709" w:left="-709"/>
        <w:jc w:val="center"/>
        <w:rPr>
          <w:rFonts w:ascii="Times New Roman" w:hAnsi="Times New Roman"/>
          <w:spacing w:val="2"/>
          <w:sz w:val="28"/>
        </w:rPr>
      </w:pPr>
    </w:p>
    <w:p w14:paraId="0A000000">
      <w:pPr>
        <w:ind w:firstLine="709" w:left="-709"/>
        <w:jc w:val="center"/>
        <w:rPr>
          <w:rFonts w:ascii="Times New Roman" w:hAnsi="Times New Roman"/>
          <w:spacing w:val="2"/>
          <w:sz w:val="28"/>
        </w:rPr>
      </w:pPr>
    </w:p>
    <w:p w14:paraId="0B000000">
      <w:pPr>
        <w:ind w:firstLine="709" w:left="-709"/>
        <w:jc w:val="center"/>
        <w:rPr>
          <w:rFonts w:ascii="Times New Roman" w:hAnsi="Times New Roman"/>
          <w:spacing w:val="2"/>
          <w:sz w:val="28"/>
        </w:rPr>
      </w:pPr>
    </w:p>
    <w:p w14:paraId="0C000000">
      <w:pPr>
        <w:ind w:firstLine="709" w:left="-709"/>
        <w:jc w:val="center"/>
        <w:rPr>
          <w:rFonts w:ascii="Times New Roman" w:hAnsi="Times New Roman"/>
          <w:b w:val="1"/>
          <w:spacing w:val="2"/>
          <w:sz w:val="40"/>
        </w:rPr>
      </w:pPr>
      <w:r>
        <w:rPr>
          <w:rFonts w:ascii="Times New Roman" w:hAnsi="Times New Roman"/>
          <w:b w:val="1"/>
          <w:spacing w:val="2"/>
          <w:sz w:val="40"/>
        </w:rPr>
        <w:t xml:space="preserve">Муниципальная программа </w:t>
      </w:r>
    </w:p>
    <w:p w14:paraId="0D000000">
      <w:pPr>
        <w:ind w:firstLine="709" w:left="-709"/>
        <w:jc w:val="center"/>
        <w:rPr>
          <w:rFonts w:ascii="Times New Roman" w:hAnsi="Times New Roman"/>
          <w:b w:val="1"/>
          <w:spacing w:val="2"/>
          <w:sz w:val="40"/>
        </w:rPr>
      </w:pPr>
      <w:r>
        <w:rPr>
          <w:rFonts w:ascii="Times New Roman" w:hAnsi="Times New Roman"/>
          <w:b w:val="1"/>
          <w:spacing w:val="2"/>
          <w:sz w:val="40"/>
        </w:rPr>
        <w:t>Увел</w:t>
      </w:r>
      <w:r>
        <w:rPr>
          <w:rFonts w:ascii="Times New Roman" w:hAnsi="Times New Roman"/>
          <w:b w:val="1"/>
          <w:spacing w:val="2"/>
          <w:sz w:val="40"/>
        </w:rPr>
        <w:t>ьского муниципального округа</w:t>
      </w:r>
    </w:p>
    <w:p w14:paraId="0E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  <w:r>
        <w:rPr>
          <w:rFonts w:ascii="Times New Roman" w:hAnsi="Times New Roman"/>
          <w:b w:val="1"/>
          <w:spacing w:val="2"/>
          <w:sz w:val="40"/>
        </w:rPr>
        <w:t xml:space="preserve">«Профилактика и противодействие проявлениям </w:t>
      </w:r>
    </w:p>
    <w:p w14:paraId="0F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  <w:r>
        <w:rPr>
          <w:rFonts w:ascii="Times New Roman" w:hAnsi="Times New Roman"/>
          <w:b w:val="1"/>
          <w:spacing w:val="2"/>
          <w:sz w:val="40"/>
        </w:rPr>
        <w:t xml:space="preserve">экстремизма в </w:t>
      </w:r>
      <w:r>
        <w:rPr>
          <w:rFonts w:ascii="Times New Roman" w:hAnsi="Times New Roman"/>
          <w:b w:val="1"/>
          <w:spacing w:val="2"/>
          <w:sz w:val="40"/>
        </w:rPr>
        <w:t>Увельс</w:t>
      </w:r>
      <w:r>
        <w:rPr>
          <w:rFonts w:ascii="Times New Roman" w:hAnsi="Times New Roman"/>
          <w:b w:val="1"/>
          <w:spacing w:val="2"/>
          <w:sz w:val="40"/>
        </w:rPr>
        <w:t>ком муниципальном округе</w:t>
      </w:r>
      <w:r>
        <w:rPr>
          <w:rFonts w:ascii="Times New Roman" w:hAnsi="Times New Roman"/>
          <w:b w:val="1"/>
          <w:spacing w:val="2"/>
          <w:sz w:val="40"/>
        </w:rPr>
        <w:t xml:space="preserve"> на 2026-2028 годы</w:t>
      </w:r>
      <w:r>
        <w:rPr>
          <w:rFonts w:ascii="Times New Roman" w:hAnsi="Times New Roman"/>
          <w:b w:val="1"/>
          <w:spacing w:val="2"/>
          <w:sz w:val="40"/>
        </w:rPr>
        <w:t>»</w:t>
      </w:r>
    </w:p>
    <w:p w14:paraId="10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1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2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3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4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5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6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7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8000000">
      <w:pPr>
        <w:ind/>
        <w:jc w:val="center"/>
        <w:rPr>
          <w:rFonts w:ascii="Times New Roman" w:hAnsi="Times New Roman"/>
          <w:b w:val="1"/>
          <w:spacing w:val="2"/>
          <w:sz w:val="40"/>
        </w:rPr>
      </w:pPr>
    </w:p>
    <w:p w14:paraId="19000000">
      <w:pPr>
        <w:pStyle w:val="Style_1"/>
        <w:numPr>
          <w:ilvl w:val="0"/>
          <w:numId w:val="1"/>
        </w:numPr>
        <w:tabs>
          <w:tab w:leader="none" w:pos="426" w:val="left"/>
        </w:tabs>
        <w:spacing w:line="240" w:lineRule="auto"/>
        <w:ind w:firstLine="0" w:left="0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(оценка) текущего состояния деятельности в сфере профилактики и противодействия проявлениям экстремизма</w:t>
      </w:r>
    </w:p>
    <w:p w14:paraId="1A000000">
      <w:pPr>
        <w:pStyle w:val="Style_1"/>
        <w:tabs>
          <w:tab w:leader="none" w:pos="426" w:val="left"/>
        </w:tabs>
        <w:spacing w:line="240" w:lineRule="auto"/>
        <w:ind w:left="0" w:right="1"/>
        <w:rPr>
          <w:rFonts w:ascii="Times New Roman" w:hAnsi="Times New Roman"/>
          <w:sz w:val="28"/>
        </w:rPr>
      </w:pPr>
    </w:p>
    <w:p w14:paraId="1B000000">
      <w:pPr>
        <w:tabs>
          <w:tab w:leader="none" w:pos="993" w:val="left"/>
        </w:tabs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Челябинская область является одним из приграничных субъектов Российской Федерации. В связи с этим </w:t>
      </w:r>
      <w:r>
        <w:rPr>
          <w:rFonts w:ascii="Times New Roman" w:hAnsi="Times New Roman"/>
          <w:sz w:val="28"/>
        </w:rPr>
        <w:t>важное значение</w:t>
      </w:r>
      <w:r>
        <w:rPr>
          <w:rFonts w:ascii="Times New Roman" w:hAnsi="Times New Roman"/>
          <w:sz w:val="28"/>
        </w:rPr>
        <w:t xml:space="preserve"> для социально-экономического развития региона имеет его включенность в систему международных отношений.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Увельский муниципальный округ находится в вос</w:t>
      </w:r>
      <w:r>
        <w:rPr>
          <w:rFonts w:ascii="Times New Roman" w:hAnsi="Times New Roman"/>
          <w:sz w:val="28"/>
        </w:rPr>
        <w:t xml:space="preserve">точной части Челябинской области. На севере граничит с </w:t>
      </w:r>
      <w:r>
        <w:rPr>
          <w:rFonts w:ascii="Times New Roman" w:hAnsi="Times New Roman"/>
          <w:sz w:val="28"/>
        </w:rPr>
        <w:t>Еткульским</w:t>
      </w:r>
      <w:r>
        <w:rPr>
          <w:rFonts w:ascii="Times New Roman" w:hAnsi="Times New Roman"/>
          <w:sz w:val="28"/>
        </w:rPr>
        <w:t xml:space="preserve">, на юге - с </w:t>
      </w:r>
      <w:r>
        <w:rPr>
          <w:rFonts w:ascii="Times New Roman" w:hAnsi="Times New Roman"/>
          <w:sz w:val="28"/>
        </w:rPr>
        <w:t>Троицким</w:t>
      </w:r>
      <w:r>
        <w:rPr>
          <w:rFonts w:ascii="Times New Roman" w:hAnsi="Times New Roman"/>
          <w:sz w:val="28"/>
        </w:rPr>
        <w:t xml:space="preserve">, на западе - с </w:t>
      </w:r>
      <w:r>
        <w:rPr>
          <w:rFonts w:ascii="Times New Roman" w:hAnsi="Times New Roman"/>
          <w:sz w:val="28"/>
        </w:rPr>
        <w:t>Пластовским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Чебаркульским</w:t>
      </w:r>
      <w:r>
        <w:rPr>
          <w:rFonts w:ascii="Times New Roman" w:hAnsi="Times New Roman"/>
          <w:sz w:val="28"/>
        </w:rPr>
        <w:t>, на вос</w:t>
      </w:r>
      <w:r>
        <w:rPr>
          <w:rFonts w:ascii="Times New Roman" w:hAnsi="Times New Roman"/>
          <w:sz w:val="28"/>
        </w:rPr>
        <w:t>токе - с Октябрьским округами. Вну</w:t>
      </w:r>
      <w:r>
        <w:rPr>
          <w:rFonts w:ascii="Times New Roman" w:hAnsi="Times New Roman"/>
          <w:sz w:val="28"/>
        </w:rPr>
        <w:t xml:space="preserve">три границ района расположились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 Южноуральск (обладающий самосто</w:t>
      </w:r>
      <w:r>
        <w:rPr>
          <w:rFonts w:ascii="Times New Roman" w:hAnsi="Times New Roman"/>
          <w:sz w:val="28"/>
        </w:rPr>
        <w:t>ятельным статусом городского округа) и поселок городского типа Красногор</w:t>
      </w:r>
      <w:r>
        <w:rPr>
          <w:rFonts w:ascii="Times New Roman" w:hAnsi="Times New Roman"/>
          <w:sz w:val="28"/>
        </w:rPr>
        <w:t>ский (подчинен администрации горо</w:t>
      </w:r>
      <w:r>
        <w:rPr>
          <w:rFonts w:ascii="Times New Roman" w:hAnsi="Times New Roman"/>
          <w:sz w:val="28"/>
        </w:rPr>
        <w:t xml:space="preserve">да Еманжелинска). На территории округа исторически сложилась </w:t>
      </w:r>
      <w:r>
        <w:rPr>
          <w:rFonts w:ascii="Times New Roman" w:hAnsi="Times New Roman"/>
          <w:sz w:val="28"/>
        </w:rPr>
        <w:t>полиэтническая</w:t>
      </w:r>
      <w:r>
        <w:rPr>
          <w:rFonts w:ascii="Times New Roman" w:hAnsi="Times New Roman"/>
          <w:sz w:val="28"/>
        </w:rPr>
        <w:t xml:space="preserve"> структура населения, включающая представителей более 30 национальностей. Структурообразующую основу межнационального баланса составляют русские (более 84%), татары (около 5%), башкиры (до 2%), казахи, украинцы, немецкое население, а также компактно проживающие группы цыган. </w:t>
      </w:r>
    </w:p>
    <w:p w14:paraId="1C000000">
      <w:pPr>
        <w:pStyle w:val="Style_1"/>
        <w:tabs>
          <w:tab w:leader="none" w:pos="426" w:val="left"/>
        </w:tabs>
        <w:spacing w:line="240" w:lineRule="auto"/>
        <w:ind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условиях проведения специальной военной операции усилилась активность иностранных государственных органов и организаций по распространению экстремистских идей, в том числе идей межнациональной и межконфессиональной нетерпимости. 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средствах массовой информации, в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том числе в сети Интернет, распространяется информация, направленная на дискредитацию органов государственной власти Российской Федерации, субъектов Российской Федерации, органов местного самоуправления, а также Вооруженных Сил Российской Федерации. Возрастает степень угрозы со стороны международных</w:t>
      </w:r>
      <w:r>
        <w:rPr>
          <w:rFonts w:ascii="Times New Roman" w:hAnsi="Times New Roman"/>
          <w:sz w:val="28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559040" cy="106895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 xml:space="preserve"> экстремистских и террористических организаций, приверженных идеологии экстремизма и </w:t>
      </w:r>
      <w:r>
        <w:rPr>
          <w:rFonts w:ascii="Times New Roman" w:hAnsi="Times New Roman"/>
          <w:sz w:val="28"/>
        </w:rPr>
        <w:t>террроризма</w:t>
      </w:r>
      <w:r>
        <w:rPr>
          <w:rFonts w:ascii="Times New Roman" w:hAnsi="Times New Roman"/>
          <w:sz w:val="28"/>
        </w:rPr>
        <w:t>, в том числе идеологии неонацизма.</w:t>
      </w:r>
    </w:p>
    <w:p w14:paraId="1D000000">
      <w:pPr>
        <w:pStyle w:val="Style_2"/>
        <w:tabs>
          <w:tab w:leader="none" w:pos="426" w:val="left"/>
        </w:tabs>
        <w:ind w:right="1"/>
        <w:jc w:val="both"/>
      </w:pPr>
      <w:r>
        <w:tab/>
      </w:r>
      <w:r>
        <w:tab/>
      </w:r>
      <w:r>
        <w:t>На территории Челябинской области в рамках общефедеральной</w:t>
      </w:r>
      <w:r>
        <w:rPr>
          <w:spacing w:val="40"/>
        </w:rPr>
        <w:t xml:space="preserve"> </w:t>
      </w:r>
      <w:r>
        <w:t xml:space="preserve">ситуации сохраняются </w:t>
      </w:r>
      <w:r>
        <w:t>угрозообразующие</w:t>
      </w:r>
      <w:r>
        <w:t xml:space="preserve"> факторы, влияющие на потенциал развития экстремистских настроений и формирование экстремистских сообществ, особенно в молодежной среде.</w:t>
      </w:r>
    </w:p>
    <w:p w14:paraId="1E000000">
      <w:pPr>
        <w:pStyle w:val="Style_2"/>
        <w:tabs>
          <w:tab w:leader="none" w:pos="426" w:val="left"/>
        </w:tabs>
        <w:ind w:right="1"/>
        <w:jc w:val="both"/>
      </w:pPr>
      <w:r>
        <w:tab/>
      </w:r>
      <w:r>
        <w:tab/>
      </w:r>
      <w:r>
        <w:t>В настоящее время в Челябинской области наблюдаются отдельные проявления агрессивных настроений в обществе на фоне обострения внешнеполитической ситуации и усиления миграционных процессов, а также низкий уровень социально-правовой и</w:t>
      </w:r>
      <w:r>
        <w:rPr>
          <w:spacing w:val="-7"/>
        </w:rPr>
        <w:t xml:space="preserve"> </w:t>
      </w:r>
      <w:r>
        <w:t xml:space="preserve">этнокультурной адаптации мигрантов на территории региона. Отмечается изменение интерактивных методов распространения экстремистской и иных радикальных идеологий как через информационно-телекоммуникационную сеть Интернет, так и систему </w:t>
      </w:r>
      <w:r>
        <w:t>мессенджеров</w:t>
      </w:r>
      <w:r>
        <w:t>, основным пользователем которых является молодежь.</w:t>
      </w:r>
    </w:p>
    <w:p w14:paraId="1F000000">
      <w:pPr>
        <w:tabs>
          <w:tab w:leader="none" w:pos="426" w:val="left"/>
        </w:tabs>
        <w:ind w:right="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Несмотря на то, что за последние годы увеличилось число внешних и внутренних экстремистских угроз, на территории Увельск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муниципальн</w:t>
      </w:r>
      <w:r>
        <w:rPr>
          <w:rFonts w:ascii="Times New Roman" w:hAnsi="Times New Roman"/>
          <w:sz w:val="28"/>
        </w:rPr>
        <w:t xml:space="preserve">ого округа </w:t>
      </w:r>
      <w:r>
        <w:rPr>
          <w:rFonts w:ascii="Times New Roman" w:hAnsi="Times New Roman"/>
          <w:sz w:val="28"/>
        </w:rPr>
        <w:t>преступлений экстремистской направленности в 2025 году не зарегистрировано.</w:t>
      </w:r>
    </w:p>
    <w:p w14:paraId="20000000">
      <w:pPr>
        <w:tabs>
          <w:tab w:leader="none" w:pos="426" w:val="left"/>
        </w:tabs>
        <w:ind w:right="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результате принятых мер по предупреждению незаконных публичных акций, профилактике межнациональных конфликтов и проявлений экстремизма не допущено совершения экстремистских акций, дестабилизирующих публичных мероприятий и локальных межнациональных конфликтов.</w:t>
      </w:r>
      <w:r>
        <w:rPr>
          <w:rFonts w:ascii="Times New Roman" w:hAnsi="Times New Roman"/>
          <w:sz w:val="28"/>
        </w:rPr>
        <w:t xml:space="preserve"> </w:t>
      </w:r>
    </w:p>
    <w:p w14:paraId="21000000">
      <w:pPr>
        <w:tabs>
          <w:tab w:leader="none" w:pos="426" w:val="left"/>
        </w:tabs>
        <w:ind w:right="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ходе проведенн</w:t>
      </w:r>
      <w:r>
        <w:rPr>
          <w:rFonts w:ascii="Times New Roman" w:hAnsi="Times New Roman"/>
          <w:sz w:val="28"/>
        </w:rPr>
        <w:t>ых проверок</w:t>
      </w:r>
      <w:r>
        <w:rPr>
          <w:rFonts w:ascii="Times New Roman" w:hAnsi="Times New Roman"/>
          <w:sz w:val="28"/>
        </w:rPr>
        <w:t xml:space="preserve"> в отношении некоренных национальностей сотрудниками МО МВД</w:t>
      </w:r>
      <w:r>
        <w:rPr>
          <w:rFonts w:ascii="Times New Roman" w:hAnsi="Times New Roman"/>
          <w:sz w:val="28"/>
        </w:rPr>
        <w:t xml:space="preserve"> России «Южноуральский»</w:t>
      </w:r>
      <w:r>
        <w:rPr>
          <w:rFonts w:ascii="Times New Roman" w:hAnsi="Times New Roman"/>
          <w:sz w:val="28"/>
        </w:rPr>
        <w:t xml:space="preserve"> факты финансирования террористической деятельности, экстремистки настроенных организаций и движений не установлены. Экономическая деятельность этнических групп не оказывает дестабилизирующего влияния на экономическую деятельность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ходе мониторинга сети Интернет </w:t>
      </w:r>
      <w:r>
        <w:rPr>
          <w:rFonts w:ascii="Times New Roman" w:hAnsi="Times New Roman"/>
          <w:sz w:val="28"/>
        </w:rPr>
        <w:t>комментарии</w:t>
      </w:r>
      <w:r>
        <w:rPr>
          <w:rFonts w:ascii="Times New Roman" w:hAnsi="Times New Roman"/>
          <w:sz w:val="28"/>
        </w:rPr>
        <w:t xml:space="preserve"> экстремистского характера не выявлялись.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ходе проверок в указанной сфере два гражданина </w:t>
      </w:r>
      <w:r>
        <w:rPr>
          <w:rFonts w:ascii="Times New Roman" w:hAnsi="Times New Roman"/>
          <w:sz w:val="28"/>
        </w:rPr>
        <w:t xml:space="preserve">были </w:t>
      </w:r>
      <w:r>
        <w:rPr>
          <w:rFonts w:ascii="Times New Roman" w:hAnsi="Times New Roman"/>
          <w:sz w:val="28"/>
        </w:rPr>
        <w:t xml:space="preserve">привлечены к административной ответственности по ст. 20.3 </w:t>
      </w:r>
      <w:r>
        <w:rPr>
          <w:rFonts w:ascii="Times New Roman" w:hAnsi="Times New Roman"/>
          <w:sz w:val="28"/>
        </w:rPr>
        <w:t>КРФобАП</w:t>
      </w:r>
      <w:r>
        <w:rPr>
          <w:rFonts w:ascii="Times New Roman" w:hAnsi="Times New Roman"/>
          <w:sz w:val="28"/>
        </w:rPr>
        <w:t xml:space="preserve"> (г. Южноуральск), возбуждено уголовное дело по ч. 2 ст. 282.2 УК РФ</w:t>
      </w:r>
      <w:r>
        <w:rPr>
          <w:rFonts w:ascii="Times New Roman" w:hAnsi="Times New Roman"/>
          <w:sz w:val="28"/>
        </w:rPr>
        <w:t xml:space="preserve">.  </w:t>
      </w:r>
    </w:p>
    <w:p w14:paraId="22000000">
      <w:pPr>
        <w:tabs>
          <w:tab w:leader="none" w:pos="426" w:val="left"/>
        </w:tabs>
        <w:ind w:right="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Координацию</w:t>
      </w:r>
      <w:r>
        <w:rPr>
          <w:rFonts w:ascii="Times New Roman" w:hAnsi="Times New Roman"/>
          <w:spacing w:val="25"/>
          <w:sz w:val="28"/>
        </w:rPr>
        <w:t xml:space="preserve">  </w:t>
      </w:r>
      <w:r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pacing w:val="32"/>
          <w:sz w:val="28"/>
        </w:rPr>
        <w:t xml:space="preserve">  </w:t>
      </w:r>
      <w:r>
        <w:rPr>
          <w:rFonts w:ascii="Times New Roman" w:hAnsi="Times New Roman"/>
          <w:sz w:val="28"/>
        </w:rPr>
        <w:t>Стратегии</w:t>
      </w:r>
      <w:r>
        <w:rPr>
          <w:rFonts w:ascii="Times New Roman" w:hAnsi="Times New Roman"/>
          <w:spacing w:val="30"/>
          <w:sz w:val="28"/>
        </w:rPr>
        <w:t xml:space="preserve">  </w:t>
      </w:r>
      <w:r>
        <w:rPr>
          <w:rFonts w:ascii="Times New Roman" w:hAnsi="Times New Roman"/>
          <w:sz w:val="28"/>
        </w:rPr>
        <w:t>противодействия</w:t>
      </w:r>
      <w:r>
        <w:rPr>
          <w:rFonts w:ascii="Times New Roman" w:hAnsi="Times New Roman"/>
          <w:spacing w:val="31"/>
          <w:sz w:val="28"/>
        </w:rPr>
        <w:t xml:space="preserve">  </w:t>
      </w:r>
      <w:r>
        <w:rPr>
          <w:rFonts w:ascii="Times New Roman" w:hAnsi="Times New Roman"/>
          <w:sz w:val="28"/>
        </w:rPr>
        <w:t>экстремизму</w:t>
      </w:r>
      <w:r>
        <w:rPr>
          <w:rFonts w:ascii="Times New Roman" w:hAnsi="Times New Roman"/>
          <w:spacing w:val="31"/>
          <w:sz w:val="28"/>
        </w:rPr>
        <w:t xml:space="preserve">  </w:t>
      </w:r>
      <w:r>
        <w:rPr>
          <w:rFonts w:ascii="Times New Roman" w:hAnsi="Times New Roman"/>
          <w:spacing w:val="-10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Российской Федерации, утвержденной Указом Президента Российской Федерации от 28 декабря 2024 года № 1124 «Об утверждении Стратегии противодействия экстремизму в Российской Федерации», осуществляет межведомственная комиссия по вопросам противодействия проявлениям экстремизма на территории </w:t>
      </w:r>
      <w:r>
        <w:rPr>
          <w:rFonts w:ascii="Times New Roman" w:hAnsi="Times New Roman"/>
          <w:sz w:val="28"/>
        </w:rPr>
        <w:t>Увельского муниципального округа.</w:t>
      </w:r>
    </w:p>
    <w:p w14:paraId="23000000">
      <w:pPr>
        <w:tabs>
          <w:tab w:leader="none" w:pos="426" w:val="left"/>
        </w:tabs>
        <w:ind w:right="1"/>
        <w:contextualSpacing w:val="1"/>
        <w:jc w:val="both"/>
        <w:rPr>
          <w:rFonts w:ascii="Times New Roman" w:hAnsi="Times New Roman"/>
          <w:sz w:val="28"/>
        </w:rPr>
      </w:pPr>
    </w:p>
    <w:p w14:paraId="24000000">
      <w:pPr>
        <w:pStyle w:val="Style_1"/>
        <w:numPr>
          <w:ilvl w:val="0"/>
          <w:numId w:val="1"/>
        </w:numPr>
        <w:tabs>
          <w:tab w:leader="none" w:pos="426" w:val="left"/>
        </w:tabs>
        <w:ind w:firstLine="0" w:left="0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приоритетов и целей муниципальной политики</w:t>
      </w:r>
    </w:p>
    <w:p w14:paraId="25000000">
      <w:pPr>
        <w:pStyle w:val="Style_1"/>
        <w:tabs>
          <w:tab w:leader="none" w:pos="426" w:val="left"/>
        </w:tabs>
        <w:ind w:left="0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сфере реализации  Программы</w:t>
      </w:r>
    </w:p>
    <w:p w14:paraId="26000000">
      <w:pPr>
        <w:tabs>
          <w:tab w:leader="none" w:pos="426" w:val="left"/>
        </w:tabs>
        <w:ind w:right="1"/>
        <w:jc w:val="center"/>
        <w:rPr>
          <w:rFonts w:ascii="Times New Roman" w:hAnsi="Times New Roman"/>
          <w:sz w:val="28"/>
        </w:rPr>
      </w:pPr>
    </w:p>
    <w:p w14:paraId="27000000">
      <w:pPr>
        <w:tabs>
          <w:tab w:leader="none" w:pos="426" w:val="left"/>
        </w:tabs>
        <w:ind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Основной целью программы является защита основ конституционного строя Российской Федерации, прав и свобод человека и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66"/>
          <w:sz w:val="28"/>
        </w:rPr>
        <w:t xml:space="preserve">  </w:t>
      </w:r>
      <w:r>
        <w:rPr>
          <w:rFonts w:ascii="Times New Roman" w:hAnsi="Times New Roman"/>
          <w:sz w:val="28"/>
        </w:rPr>
        <w:t>экстремистских</w:t>
      </w:r>
      <w:r>
        <w:rPr>
          <w:rFonts w:ascii="Times New Roman" w:hAnsi="Times New Roman"/>
          <w:spacing w:val="69"/>
          <w:sz w:val="28"/>
        </w:rPr>
        <w:t xml:space="preserve">  </w:t>
      </w:r>
      <w:r>
        <w:rPr>
          <w:rFonts w:ascii="Times New Roman" w:hAnsi="Times New Roman"/>
          <w:sz w:val="28"/>
        </w:rPr>
        <w:t>угроз,</w:t>
      </w:r>
      <w:r>
        <w:rPr>
          <w:rFonts w:ascii="Times New Roman" w:hAnsi="Times New Roman"/>
          <w:spacing w:val="76"/>
          <w:sz w:val="28"/>
        </w:rPr>
        <w:t xml:space="preserve">  </w:t>
      </w:r>
      <w:r>
        <w:rPr>
          <w:rFonts w:ascii="Times New Roman" w:hAnsi="Times New Roman"/>
          <w:sz w:val="28"/>
        </w:rPr>
        <w:t>обеспечение</w:t>
      </w:r>
      <w:r>
        <w:rPr>
          <w:rFonts w:ascii="Times New Roman" w:hAnsi="Times New Roman"/>
          <w:spacing w:val="72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государственной и общественной безопасности на территории округа, совершенствование эффективной системы мер </w:t>
      </w:r>
      <w:r>
        <w:rPr>
          <w:rFonts w:ascii="Times New Roman" w:hAnsi="Times New Roman"/>
          <w:sz w:val="28"/>
        </w:rPr>
        <w:t>антиэкстремистской</w:t>
      </w:r>
      <w:r>
        <w:rPr>
          <w:rFonts w:ascii="Times New Roman" w:hAnsi="Times New Roman"/>
          <w:sz w:val="28"/>
        </w:rPr>
        <w:t xml:space="preserve"> направленности для профилактики распространения экстремистской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идеологии, в том числе радикального толка; обеспечение дальнейшей реализации государственной политики в сфере противодействия экстремизму и реализации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положений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Федерального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z w:val="28"/>
        </w:rPr>
        <w:t>закона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июля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2002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z w:val="28"/>
        </w:rPr>
        <w:t>114-</w:t>
      </w:r>
      <w:r>
        <w:rPr>
          <w:rFonts w:ascii="Times New Roman" w:hAnsi="Times New Roman"/>
          <w:spacing w:val="-5"/>
          <w:sz w:val="28"/>
        </w:rPr>
        <w:t xml:space="preserve">ФЗ </w:t>
      </w:r>
      <w:r>
        <w:rPr>
          <w:rFonts w:ascii="Times New Roman" w:hAnsi="Times New Roman"/>
          <w:sz w:val="28"/>
        </w:rPr>
        <w:t>«О противодействии экстремистской деятельности» и Указа Президента Российской Федерации от 28 декабря 2024 года № 1124 «Об утверждении Стратегии противодействия экстремизму в Российской Федерации».</w:t>
      </w:r>
    </w:p>
    <w:p w14:paraId="28000000">
      <w:pPr>
        <w:tabs>
          <w:tab w:leader="none" w:pos="426" w:val="left"/>
        </w:tabs>
        <w:ind w:right="1"/>
        <w:jc w:val="both"/>
        <w:rPr>
          <w:rFonts w:ascii="Times New Roman" w:hAnsi="Times New Roman"/>
          <w:sz w:val="28"/>
        </w:rPr>
      </w:pPr>
    </w:p>
    <w:p w14:paraId="29000000">
      <w:pPr>
        <w:pStyle w:val="Style_1"/>
        <w:numPr>
          <w:ilvl w:val="0"/>
          <w:numId w:val="1"/>
        </w:numPr>
        <w:tabs>
          <w:tab w:leader="none" w:pos="426" w:val="left"/>
        </w:tabs>
        <w:ind w:firstLine="0" w:left="0" w:right="1"/>
        <w:contextualSpacing w:val="0"/>
        <w:jc w:val="center"/>
        <w:rPr>
          <w:sz w:val="28"/>
        </w:rPr>
      </w:pPr>
      <w:r>
        <w:rPr>
          <w:rFonts w:ascii="Times New Roman" w:hAnsi="Times New Roman"/>
          <w:sz w:val="28"/>
        </w:rPr>
        <w:t xml:space="preserve">Сведения о взаимосвязи со стратегическими приоритетами, </w:t>
      </w:r>
    </w:p>
    <w:p w14:paraId="2A000000">
      <w:pPr>
        <w:pStyle w:val="Style_1"/>
        <w:tabs>
          <w:tab w:leader="none" w:pos="426" w:val="left"/>
        </w:tabs>
        <w:ind w:left="0" w:right="1"/>
        <w:contextualSpacing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целями и показателями государственных программ</w:t>
      </w:r>
    </w:p>
    <w:p w14:paraId="2B000000">
      <w:pPr>
        <w:pStyle w:val="Style_1"/>
        <w:tabs>
          <w:tab w:leader="none" w:pos="426" w:val="left"/>
        </w:tabs>
        <w:ind w:left="0" w:right="1"/>
        <w:contextualSpacing w:val="0"/>
        <w:jc w:val="center"/>
        <w:rPr>
          <w:rFonts w:ascii="Times New Roman" w:hAnsi="Times New Roman"/>
          <w:sz w:val="28"/>
        </w:rPr>
      </w:pPr>
    </w:p>
    <w:p w14:paraId="2C000000">
      <w:pPr>
        <w:pStyle w:val="Style_1"/>
        <w:tabs>
          <w:tab w:leader="none" w:pos="426" w:val="left"/>
        </w:tabs>
        <w:ind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Times New Roman" w:hAnsi="Times New Roman"/>
          <w:sz w:val="28"/>
        </w:rPr>
        <w:t>Муниципальная программа «Профилактика и противодействие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проявлениям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экстремизма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Style w:val="Style_2_ch"/>
        </w:rPr>
        <w:t xml:space="preserve">Увельском муниципальном </w:t>
      </w:r>
      <w:r>
        <w:rPr>
          <w:rStyle w:val="Style_2_ch"/>
        </w:rPr>
        <w:t>округе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2026-2028 годы» является системой мероприятий и показателей, направленных на профилактику преступлений экстремистского характера и противодействие проявлениям экстремизма.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Актуальность разработки и реализации настоящей Программы обусловлена стратегическими задачами по сохранению социально-политической стабильности в условиях реформирования системы местного самоуправления и перехода к одноуровневой структуре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Увельскому муниципальному округу. </w:t>
      </w:r>
      <w:r>
        <w:rPr>
          <w:rFonts w:ascii="Times New Roman" w:hAnsi="Times New Roman"/>
          <w:sz w:val="28"/>
        </w:rPr>
        <w:t xml:space="preserve">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</w:t>
      </w:r>
      <w:r>
        <w:rPr>
          <w:rFonts w:ascii="Times New Roman" w:hAnsi="Times New Roman"/>
          <w:sz w:val="28"/>
        </w:rPr>
        <w:t>являющихся</w:t>
      </w:r>
      <w:r>
        <w:rPr>
          <w:rFonts w:ascii="Times New Roman" w:hAnsi="Times New Roman"/>
          <w:sz w:val="28"/>
        </w:rPr>
        <w:t xml:space="preserve"> прямой угрозой безопасности не только </w:t>
      </w:r>
      <w:r>
        <w:rPr>
          <w:rFonts w:ascii="Times New Roman" w:hAnsi="Times New Roman"/>
          <w:sz w:val="28"/>
        </w:rPr>
        <w:t>Увельского</w:t>
      </w:r>
      <w:r>
        <w:rPr>
          <w:rFonts w:ascii="Times New Roman" w:hAnsi="Times New Roman"/>
          <w:sz w:val="28"/>
        </w:rPr>
        <w:t xml:space="preserve"> муниципального округа Челябинской области, но и страны в целом. </w:t>
      </w:r>
    </w:p>
    <w:p w14:paraId="2D000000">
      <w:pPr>
        <w:pStyle w:val="Style_1"/>
        <w:tabs>
          <w:tab w:leader="none" w:pos="426" w:val="left"/>
        </w:tabs>
        <w:ind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Программа разрабатывается в соответствии 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Стратеги</w:t>
      </w:r>
      <w:r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 xml:space="preserve"> противодействия экстремизму в Российской Федерации, утвержденн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Указом Президента Российской Федерации</w:t>
      </w:r>
      <w:r>
        <w:rPr>
          <w:rFonts w:ascii="Times New Roman" w:hAnsi="Times New Roman"/>
          <w:spacing w:val="60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z w:val="28"/>
        </w:rPr>
        <w:t>декабря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2024 </w:t>
      </w:r>
      <w:r>
        <w:rPr>
          <w:rFonts w:ascii="Times New Roman" w:hAnsi="Times New Roman"/>
          <w:spacing w:val="-4"/>
          <w:sz w:val="28"/>
        </w:rPr>
        <w:t xml:space="preserve">года </w:t>
      </w:r>
      <w:r>
        <w:rPr>
          <w:rFonts w:ascii="Times New Roman" w:hAnsi="Times New Roman"/>
          <w:sz w:val="28"/>
        </w:rPr>
        <w:t>№ 1124 «Об утверждении Стратегии противодействия экстремизму в Российской Федерации»;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Указ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Президента Российской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от 2 июля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2021 года № 400 «О Стратегии национальной безопасности Российской Федерации»;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>закон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56"/>
          <w:sz w:val="28"/>
        </w:rPr>
        <w:t xml:space="preserve"> 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sz w:val="28"/>
        </w:rPr>
        <w:t>июля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z w:val="28"/>
        </w:rPr>
        <w:t>2002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№114-</w:t>
      </w:r>
      <w:r>
        <w:rPr>
          <w:rFonts w:ascii="Times New Roman" w:hAnsi="Times New Roman"/>
          <w:spacing w:val="-5"/>
          <w:sz w:val="28"/>
        </w:rPr>
        <w:t xml:space="preserve">ФЗ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противодействии экстремистской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деятельности»;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закон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от 28 июня 2014 года «О стратегическом планировании в Российской Федерации»</w:t>
      </w:r>
      <w:r>
        <w:rPr>
          <w:rFonts w:ascii="Times New Roman" w:hAnsi="Times New Roman"/>
          <w:sz w:val="28"/>
        </w:rPr>
        <w:t>, региональной программой Челябинской области «Профилактика и противодействие проявлениям экстремизма в Челябинской области на 2026-2028 годы», утвержденной распоряжением Правительства Челябинской области от 13.02.2026 года № 108-рп</w:t>
      </w:r>
      <w:r>
        <w:rPr>
          <w:rFonts w:ascii="Times New Roman" w:hAnsi="Times New Roman"/>
          <w:sz w:val="28"/>
        </w:rPr>
        <w:t xml:space="preserve">. </w:t>
      </w:r>
    </w:p>
    <w:p w14:paraId="2E000000">
      <w:pPr>
        <w:pStyle w:val="Style_1"/>
        <w:tabs>
          <w:tab w:leader="none" w:pos="426" w:val="left"/>
        </w:tabs>
        <w:ind w:left="0" w:right="1"/>
        <w:contextualSpacing w:val="0"/>
        <w:jc w:val="center"/>
      </w:pPr>
    </w:p>
    <w:p w14:paraId="2F000000">
      <w:pPr>
        <w:pStyle w:val="Style_1"/>
        <w:numPr>
          <w:ilvl w:val="0"/>
          <w:numId w:val="1"/>
        </w:numPr>
        <w:tabs>
          <w:tab w:leader="none" w:pos="426" w:val="left"/>
        </w:tabs>
        <w:ind w:firstLine="0" w:left="0" w:right="1"/>
        <w:contextualSpacing w:val="0"/>
        <w:jc w:val="center"/>
        <w:rPr>
          <w:sz w:val="28"/>
        </w:rPr>
      </w:pPr>
      <w:r>
        <w:rPr>
          <w:rFonts w:ascii="Times New Roman" w:hAnsi="Times New Roman"/>
          <w:sz w:val="28"/>
        </w:rPr>
        <w:t>Задачи муниципального управления, способы их эффективного</w:t>
      </w:r>
    </w:p>
    <w:p w14:paraId="30000000">
      <w:pPr>
        <w:pStyle w:val="Style_1"/>
        <w:tabs>
          <w:tab w:leader="none" w:pos="426" w:val="left"/>
        </w:tabs>
        <w:ind w:left="0" w:right="1"/>
        <w:contextualSpacing w:val="0"/>
        <w:jc w:val="center"/>
        <w:rPr>
          <w:sz w:val="28"/>
        </w:rPr>
      </w:pPr>
      <w:r>
        <w:rPr>
          <w:rFonts w:ascii="Times New Roman" w:hAnsi="Times New Roman"/>
          <w:sz w:val="28"/>
        </w:rPr>
        <w:t>решения в</w:t>
      </w:r>
      <w:r>
        <w:rPr>
          <w:rFonts w:ascii="Times New Roman" w:hAnsi="Times New Roman"/>
          <w:sz w:val="28"/>
        </w:rPr>
        <w:t xml:space="preserve"> борьбе с проявлениями экстремизма </w:t>
      </w:r>
    </w:p>
    <w:p w14:paraId="31000000">
      <w:pPr>
        <w:pStyle w:val="Style_1"/>
        <w:tabs>
          <w:tab w:leader="none" w:pos="426" w:val="left"/>
        </w:tabs>
        <w:ind w:left="0" w:right="1"/>
        <w:contextualSpacing w:val="0"/>
        <w:jc w:val="both"/>
      </w:pPr>
    </w:p>
    <w:p w14:paraId="32000000">
      <w:pPr>
        <w:pStyle w:val="Style_1"/>
        <w:tabs>
          <w:tab w:leader="none" w:pos="426" w:val="left"/>
        </w:tabs>
        <w:ind w:left="0" w:right="1"/>
        <w:contextualSpacing w:val="0"/>
        <w:jc w:val="both"/>
        <w:rPr>
          <w:rFonts w:ascii="Times New Roman" w:hAnsi="Times New Roman"/>
          <w:sz w:val="28"/>
        </w:rPr>
      </w:pPr>
      <w: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Повышение эффективности государственной системы мониторинга в сфере противодействия экстремизму; совершенствование законодательства Российской Федерации и правоприменительной практики в сфере противодействия экстремизму; консолидация усилий субъектов противодействия экстремизму и заинтересованных организаций; 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идеологий; предупреждение экстремистских проявлений и формирование толерантной среды на территории округа; снижение уровня уязвимости молодежи к радикальной пропаганде в сети Интернет; повышение эффективности профилактики, выявления и пресечения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преступлений </w:t>
      </w:r>
      <w:r>
        <w:rPr>
          <w:rFonts w:ascii="Times New Roman" w:hAnsi="Times New Roman"/>
          <w:sz w:val="28"/>
        </w:rPr>
        <w:t>и административных правонарушений экстремистской направленности; повышение уровня патриотизма населения.</w:t>
      </w:r>
    </w:p>
    <w:p w14:paraId="33000000">
      <w:pPr>
        <w:pStyle w:val="Style_1"/>
        <w:tabs>
          <w:tab w:leader="none" w:pos="426" w:val="left"/>
        </w:tabs>
        <w:ind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Реализация Программы окажет положительное влияние на социально-экономическую ситуацию в Увельском муниципальном округе Челябинской области, уменьшит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егативно</w:t>
      </w:r>
      <w:r>
        <w:rPr>
          <w:rFonts w:ascii="Times New Roman" w:hAnsi="Times New Roman"/>
          <w:sz w:val="28"/>
        </w:rPr>
        <w:t>е отношение</w:t>
      </w:r>
      <w:r>
        <w:rPr>
          <w:rFonts w:ascii="Times New Roman" w:hAnsi="Times New Roman"/>
          <w:sz w:val="28"/>
        </w:rPr>
        <w:t xml:space="preserve"> к лицам других национальностей и религиозных конфессий,  сформирует у населения внутреннюю потребность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толерантности и межэтнической культуры в молодежной среде</w:t>
      </w:r>
      <w:r>
        <w:rPr>
          <w:rFonts w:ascii="Times New Roman" w:hAnsi="Times New Roman"/>
          <w:sz w:val="28"/>
        </w:rPr>
        <w:t>, улучшит информационно-пропагандистское обеспечение деятельности по профилактике экстремизма.</w:t>
      </w:r>
    </w:p>
    <w:p w14:paraId="34000000">
      <w:pPr>
        <w:pStyle w:val="Style_1"/>
        <w:tabs>
          <w:tab w:leader="none" w:pos="426" w:val="left"/>
        </w:tabs>
        <w:ind w:left="0" w:right="1"/>
        <w:contextualSpacing w:val="0"/>
        <w:jc w:val="both"/>
        <w:rPr>
          <w:rFonts w:ascii="Times New Roman" w:hAnsi="Times New Roman"/>
          <w:sz w:val="28"/>
        </w:rPr>
      </w:pPr>
    </w:p>
    <w:p w14:paraId="35000000">
      <w:pPr>
        <w:pStyle w:val="Style_1"/>
        <w:tabs>
          <w:tab w:leader="none" w:pos="426" w:val="left"/>
        </w:tabs>
        <w:ind w:left="0" w:right="1"/>
        <w:rPr>
          <w:rFonts w:ascii="Times New Roman" w:hAnsi="Times New Roman"/>
          <w:sz w:val="28"/>
        </w:rPr>
      </w:pPr>
    </w:p>
    <w:p w14:paraId="36000000">
      <w:pPr>
        <w:pStyle w:val="Style_1"/>
        <w:numPr>
          <w:ilvl w:val="0"/>
          <w:numId w:val="1"/>
        </w:numPr>
        <w:tabs>
          <w:tab w:leader="none" w:pos="426" w:val="left"/>
        </w:tabs>
        <w:ind w:firstLine="0" w:left="0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программы</w:t>
      </w:r>
    </w:p>
    <w:p w14:paraId="37000000">
      <w:pPr>
        <w:pStyle w:val="Style_1"/>
        <w:tabs>
          <w:tab w:leader="none" w:pos="426" w:val="left"/>
        </w:tabs>
        <w:ind w:left="0" w:right="1"/>
        <w:rPr>
          <w:rFonts w:ascii="Times New Roman" w:hAnsi="Times New Roman"/>
          <w:sz w:val="28"/>
        </w:rPr>
      </w:pPr>
    </w:p>
    <w:p w14:paraId="38000000">
      <w:pPr>
        <w:pStyle w:val="Style_1"/>
        <w:tabs>
          <w:tab w:leader="none" w:pos="426" w:val="left"/>
        </w:tabs>
        <w:ind w:left="0" w:right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Программа разработана на период 2026 – 2028 года</w:t>
      </w:r>
    </w:p>
    <w:p w14:paraId="39000000">
      <w:pPr>
        <w:pStyle w:val="Style_1"/>
        <w:tabs>
          <w:tab w:leader="none" w:pos="426" w:val="left"/>
        </w:tabs>
        <w:ind w:left="0" w:right="1"/>
        <w:rPr>
          <w:rFonts w:ascii="Times New Roman" w:hAnsi="Times New Roman"/>
          <w:sz w:val="28"/>
        </w:rPr>
      </w:pPr>
    </w:p>
    <w:p w14:paraId="3A000000">
      <w:pPr>
        <w:pStyle w:val="Style_1"/>
        <w:numPr>
          <w:ilvl w:val="0"/>
          <w:numId w:val="1"/>
        </w:numPr>
        <w:tabs>
          <w:tab w:leader="none" w:pos="426" w:val="left"/>
        </w:tabs>
        <w:ind w:firstLine="0" w:left="0" w:right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реализацией</w:t>
      </w:r>
    </w:p>
    <w:p w14:paraId="3B000000">
      <w:pPr>
        <w:pStyle w:val="Style_1"/>
        <w:tabs>
          <w:tab w:leader="none" w:pos="426" w:val="left"/>
        </w:tabs>
        <w:ind w:left="0" w:right="1"/>
        <w:rPr>
          <w:rFonts w:ascii="Times New Roman" w:hAnsi="Times New Roman"/>
          <w:sz w:val="28"/>
        </w:rPr>
      </w:pPr>
    </w:p>
    <w:p w14:paraId="3C000000">
      <w:pPr>
        <w:pStyle w:val="Style_1"/>
        <w:tabs>
          <w:tab w:leader="none" w:pos="426" w:val="left"/>
        </w:tabs>
        <w:ind w:left="0" w:right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Ответственным исполнителем программы является Отдел общественной безопасности Администрации.</w:t>
      </w:r>
    </w:p>
    <w:p w14:paraId="3D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Соисполнителями программы являются: </w:t>
      </w:r>
    </w:p>
    <w:p w14:paraId="3E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Управление образования;</w:t>
      </w:r>
    </w:p>
    <w:p w14:paraId="3F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МКУ «Управление культуры и молодежной политики»;</w:t>
      </w:r>
    </w:p>
    <w:p w14:paraId="40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МБУ «Комитет по физической культуре и спорту»</w:t>
      </w:r>
      <w:r>
        <w:rPr>
          <w:rFonts w:ascii="Times New Roman" w:hAnsi="Times New Roman"/>
          <w:sz w:val="28"/>
        </w:rPr>
        <w:t>;</w:t>
      </w:r>
    </w:p>
    <w:p w14:paraId="41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тдел по работе со СМИ</w:t>
      </w:r>
      <w:r>
        <w:rPr>
          <w:rFonts w:ascii="Times New Roman" w:hAnsi="Times New Roman"/>
          <w:sz w:val="28"/>
        </w:rPr>
        <w:t xml:space="preserve"> Администрации;</w:t>
      </w:r>
    </w:p>
    <w:p w14:paraId="42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«ОКУ Центр занятости населения Увельского района»</w:t>
      </w:r>
      <w:r>
        <w:rPr>
          <w:rFonts w:ascii="Times New Roman" w:hAnsi="Times New Roman"/>
          <w:sz w:val="28"/>
        </w:rPr>
        <w:t>;</w:t>
      </w:r>
    </w:p>
    <w:p w14:paraId="43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Территориально</w:t>
      </w:r>
      <w:r>
        <w:rPr>
          <w:rFonts w:ascii="Times New Roman" w:hAnsi="Times New Roman"/>
          <w:sz w:val="28"/>
        </w:rPr>
        <w:t xml:space="preserve">е </w:t>
      </w:r>
      <w:r>
        <w:rPr>
          <w:rFonts w:ascii="Times New Roman" w:hAnsi="Times New Roman"/>
          <w:sz w:val="28"/>
        </w:rPr>
        <w:t>управлени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администрации</w:t>
      </w:r>
      <w:r>
        <w:rPr>
          <w:rFonts w:ascii="Times New Roman" w:hAnsi="Times New Roman"/>
          <w:sz w:val="28"/>
        </w:rPr>
        <w:t>;</w:t>
      </w:r>
    </w:p>
    <w:p w14:paraId="44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правлени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социальной защиты населения</w:t>
      </w:r>
      <w:r>
        <w:rPr>
          <w:rFonts w:ascii="Times New Roman" w:hAnsi="Times New Roman"/>
          <w:sz w:val="28"/>
        </w:rPr>
        <w:t>;</w:t>
      </w:r>
    </w:p>
    <w:p w14:paraId="45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МО МВД России «Южноуральский».</w:t>
      </w:r>
    </w:p>
    <w:p w14:paraId="46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47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Реализация программы осуществляется на основе межведомственного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взаимодействия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40"/>
          <w:sz w:val="28"/>
        </w:rPr>
        <w:t xml:space="preserve">с </w:t>
      </w:r>
      <w:r>
        <w:rPr>
          <w:rFonts w:ascii="Times New Roman" w:hAnsi="Times New Roman"/>
          <w:sz w:val="28"/>
        </w:rPr>
        <w:t>Планом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мероприятий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по реализации программы «Профилактика 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противодействие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проявлениям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экстремизма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Style w:val="Style_2_ch"/>
        </w:rPr>
        <w:t xml:space="preserve">Увельском муниципальном округе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2026-2028 годы» согласно приложению 2</w:t>
      </w:r>
      <w:r>
        <w:rPr>
          <w:rFonts w:ascii="Times New Roman" w:hAnsi="Times New Roman"/>
          <w:spacing w:val="-2"/>
          <w:sz w:val="28"/>
        </w:rPr>
        <w:t>.</w:t>
      </w:r>
    </w:p>
    <w:p w14:paraId="48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pacing w:val="-2"/>
          <w:sz w:val="28"/>
        </w:rPr>
      </w:pPr>
    </w:p>
    <w:p w14:paraId="49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z w:val="28"/>
        </w:rPr>
        <w:t xml:space="preserve">Внутренний мониторинг реализации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рограммы, общий кон</w:t>
      </w:r>
      <w:r>
        <w:rPr>
          <w:rFonts w:ascii="Times New Roman" w:hAnsi="Times New Roman"/>
          <w:sz w:val="28"/>
        </w:rPr>
        <w:t>троль и управление реализацией П</w:t>
      </w:r>
      <w:r>
        <w:rPr>
          <w:rFonts w:ascii="Times New Roman" w:hAnsi="Times New Roman"/>
          <w:sz w:val="28"/>
        </w:rPr>
        <w:t xml:space="preserve">рограммы осуществляет </w:t>
      </w:r>
      <w:r>
        <w:rPr>
          <w:rFonts w:ascii="Times New Roman" w:hAnsi="Times New Roman"/>
          <w:sz w:val="28"/>
        </w:rPr>
        <w:t>Отдел общественной безопасности Администрации</w:t>
      </w:r>
      <w:r>
        <w:rPr>
          <w:rFonts w:ascii="Times New Roman" w:hAnsi="Times New Roman"/>
          <w:sz w:val="28"/>
        </w:rPr>
        <w:t>, выполняющ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координационные функции по отношению к соисполнителям программных мероприятий.</w:t>
      </w:r>
    </w:p>
    <w:p w14:paraId="4A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</w:p>
    <w:p w14:paraId="4B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tab/>
      </w:r>
      <w:r>
        <w:rPr>
          <w:rFonts w:ascii="Times New Roman" w:hAnsi="Times New Roman"/>
          <w:sz w:val="28"/>
        </w:rPr>
        <w:t>Соисполнители</w:t>
      </w:r>
      <w:r>
        <w:rPr>
          <w:rFonts w:ascii="Times New Roman" w:hAnsi="Times New Roman"/>
          <w:spacing w:val="40"/>
          <w:sz w:val="28"/>
        </w:rPr>
        <w:t xml:space="preserve">  </w:t>
      </w:r>
      <w:r>
        <w:rPr>
          <w:rFonts w:ascii="Times New Roman" w:hAnsi="Times New Roman"/>
          <w:sz w:val="28"/>
        </w:rPr>
        <w:t>мероприятий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Программы</w:t>
      </w:r>
      <w:r>
        <w:rPr>
          <w:rFonts w:ascii="Times New Roman" w:hAnsi="Times New Roman"/>
          <w:spacing w:val="40"/>
          <w:sz w:val="28"/>
        </w:rPr>
        <w:t xml:space="preserve"> 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40"/>
          <w:sz w:val="28"/>
        </w:rPr>
        <w:t xml:space="preserve"> 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числа первого месяца, следующего за отчетным периодом (полугодие), и до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31 декабря ежегодно представляют в</w:t>
      </w:r>
      <w:r>
        <w:rPr>
          <w:rFonts w:ascii="Times New Roman" w:hAnsi="Times New Roman"/>
          <w:spacing w:val="-15"/>
          <w:sz w:val="28"/>
        </w:rPr>
        <w:t xml:space="preserve"> Отдел общественной безопасности Администрации</w:t>
      </w:r>
      <w:r>
        <w:rPr>
          <w:rFonts w:ascii="Times New Roman" w:hAnsi="Times New Roman"/>
          <w:sz w:val="28"/>
        </w:rPr>
        <w:t xml:space="preserve"> информацию о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результатах мониторинга</w:t>
      </w:r>
      <w:r>
        <w:rPr>
          <w:rFonts w:ascii="Times New Roman" w:hAnsi="Times New Roman"/>
          <w:spacing w:val="77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исполнения</w:t>
      </w:r>
      <w:r>
        <w:rPr>
          <w:rFonts w:ascii="Times New Roman" w:hAnsi="Times New Roman"/>
          <w:spacing w:val="24"/>
          <w:sz w:val="28"/>
        </w:rPr>
        <w:t xml:space="preserve">  </w:t>
      </w:r>
      <w:r>
        <w:rPr>
          <w:rFonts w:ascii="Times New Roman" w:hAnsi="Times New Roman"/>
          <w:sz w:val="28"/>
        </w:rPr>
        <w:t>плана</w:t>
      </w:r>
      <w:r>
        <w:rPr>
          <w:rFonts w:ascii="Times New Roman" w:hAnsi="Times New Roman"/>
          <w:spacing w:val="75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мероприятий</w:t>
      </w:r>
      <w:r>
        <w:rPr>
          <w:rFonts w:ascii="Times New Roman" w:hAnsi="Times New Roman"/>
          <w:spacing w:val="24"/>
          <w:sz w:val="28"/>
        </w:rPr>
        <w:t xml:space="preserve"> 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75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7559040" cy="106895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программы «Профилактика и противодействие проявлениям экстремизма в</w:t>
      </w:r>
      <w:r>
        <w:rPr>
          <w:rFonts w:ascii="Times New Roman" w:hAnsi="Times New Roman"/>
          <w:spacing w:val="-12"/>
          <w:sz w:val="28"/>
        </w:rPr>
        <w:t xml:space="preserve"> Увельском муниципальном округе</w:t>
      </w:r>
      <w:r>
        <w:rPr>
          <w:rFonts w:ascii="Times New Roman" w:hAnsi="Times New Roman"/>
          <w:sz w:val="28"/>
        </w:rPr>
        <w:t xml:space="preserve"> на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2026-2028 годы».</w:t>
      </w:r>
      <w:r>
        <w:rPr>
          <w:rFonts w:ascii="Times New Roman" w:hAnsi="Times New Roman"/>
          <w:sz w:val="28"/>
        </w:rPr>
        <w:t xml:space="preserve"> Информация должна содержать сведения о выполнении программных мероприятий, включающие в себя количественные показатели и описание выполнения мероприятий программы.</w:t>
      </w:r>
    </w:p>
    <w:p w14:paraId="4C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</w:p>
    <w:p w14:paraId="4D000000">
      <w:pPr>
        <w:pStyle w:val="Style_1"/>
        <w:tabs>
          <w:tab w:leader="none" w:pos="426" w:val="left"/>
        </w:tabs>
        <w:ind w:left="0" w:right="1"/>
        <w:jc w:val="both"/>
        <w:rPr>
          <w:rFonts w:ascii="Times New Roman" w:hAnsi="Times New Roman"/>
          <w:sz w:val="28"/>
        </w:rPr>
      </w:pPr>
      <w:r>
        <w:tab/>
      </w:r>
      <w:r>
        <w:rPr>
          <w:rFonts w:ascii="Times New Roman" w:hAnsi="Times New Roman"/>
          <w:sz w:val="28"/>
        </w:rPr>
        <w:t>Ответственность за своевременное, качественное выполнение мероприятий по реализации Программы несет ответственный исполнитель программы. Соисполнители программы несут ответственность в части реализуемых ими мероприятий, входящих в состав программы.</w:t>
      </w:r>
    </w:p>
    <w:p w14:paraId="4E000000">
      <w:pPr>
        <w:pStyle w:val="Style_1"/>
        <w:numPr>
          <w:ilvl w:val="0"/>
          <w:numId w:val="1"/>
        </w:numPr>
        <w:tabs>
          <w:tab w:leader="none" w:pos="426" w:val="left"/>
        </w:tabs>
        <w:ind w:firstLine="0" w:left="0" w:right="1"/>
        <w:contextualSpacing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Ожидаемые результаты реализации программы</w:t>
      </w:r>
    </w:p>
    <w:p w14:paraId="4F000000">
      <w:pPr>
        <w:pStyle w:val="Style_1"/>
        <w:tabs>
          <w:tab w:leader="none" w:pos="426" w:val="left"/>
        </w:tabs>
        <w:ind w:left="0" w:right="1"/>
        <w:contextualSpacing w:val="0"/>
        <w:rPr>
          <w:rFonts w:ascii="Times New Roman" w:hAnsi="Times New Roman"/>
          <w:sz w:val="28"/>
        </w:rPr>
      </w:pPr>
    </w:p>
    <w:p w14:paraId="50000000">
      <w:pPr>
        <w:pStyle w:val="Style_1"/>
        <w:tabs>
          <w:tab w:leader="none" w:pos="426" w:val="left"/>
        </w:tabs>
        <w:ind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Реализация настоящей Программы позволит достичь следующих результатов:</w:t>
      </w:r>
    </w:p>
    <w:p w14:paraId="51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 xml:space="preserve"> снижение степени распространенности проявлений ксенофобии, религиозной и этнической нетерпимости, этнического и религиозного </w:t>
      </w:r>
      <w:r>
        <w:rPr>
          <w:rFonts w:ascii="Times New Roman" w:hAnsi="Times New Roman"/>
          <w:spacing w:val="-2"/>
          <w:sz w:val="28"/>
        </w:rPr>
        <w:t>экстремизма;</w:t>
      </w:r>
    </w:p>
    <w:p w14:paraId="52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повышение эффективности системы мониторинга, профилактики </w:t>
      </w:r>
      <w:r>
        <w:rPr>
          <w:rFonts w:ascii="Times New Roman" w:hAnsi="Times New Roman"/>
          <w:spacing w:val="-2"/>
          <w:sz w:val="28"/>
        </w:rPr>
        <w:t>экстремизма;</w:t>
      </w:r>
    </w:p>
    <w:p w14:paraId="53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р</w:t>
      </w:r>
      <w:r>
        <w:rPr>
          <w:rFonts w:ascii="Times New Roman" w:hAnsi="Times New Roman"/>
          <w:sz w:val="28"/>
        </w:rPr>
        <w:t>аспространение информационно-аналитических материалов профилактического характера, направленных на предупреждение преступлений экстремистского характера, совершаемых с использованием информационно-телекоммуникационных технологий;</w:t>
      </w:r>
    </w:p>
    <w:p w14:paraId="54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 xml:space="preserve"> недопущение распространения экстремистских материалов 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средствах массовой информации, в том числе в информационно-телекоммуникационной сети Интернет;</w:t>
      </w:r>
    </w:p>
    <w:p w14:paraId="55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повышение уровня взаимодействия субъектов противодействия </w:t>
      </w:r>
      <w:r>
        <w:rPr>
          <w:rFonts w:ascii="Times New Roman" w:hAnsi="Times New Roman"/>
          <w:spacing w:val="-2"/>
          <w:sz w:val="28"/>
        </w:rPr>
        <w:t>экстремизму;</w:t>
      </w:r>
    </w:p>
    <w:p w14:paraId="56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активное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участие институтов гражданского общества в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профилактике и предупреждении экстремистских проявлений;</w:t>
      </w:r>
    </w:p>
    <w:p w14:paraId="57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формирование в обществе, особенно среди молодежи, атмосферы нетерпимости к экстремистской деятельности, неприятия экстремистской </w:t>
      </w:r>
      <w:r>
        <w:rPr>
          <w:rFonts w:ascii="Times New Roman" w:hAnsi="Times New Roman"/>
          <w:spacing w:val="-2"/>
          <w:sz w:val="28"/>
        </w:rPr>
        <w:t>идеологии;</w:t>
      </w:r>
    </w:p>
    <w:p w14:paraId="58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повышение уровня защищенности граждан и общества от экстремистских проявлений;</w:t>
      </w:r>
    </w:p>
    <w:p w14:paraId="59000000">
      <w:pPr>
        <w:pStyle w:val="Style_1"/>
        <w:numPr>
          <w:ilvl w:val="0"/>
          <w:numId w:val="2"/>
        </w:numPr>
        <w:ind w:firstLine="426" w:left="0" w:right="1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увеличение количества граждан, охваченных проводимыми мероприятиями по профилактике экстремизма.</w:t>
      </w:r>
    </w:p>
    <w:p w14:paraId="5A000000"/>
    <w:p w14:paraId="5B000000"/>
    <w:p w14:paraId="5C000000"/>
    <w:p w14:paraId="5D000000">
      <w:pPr>
        <w:pStyle w:val="Style_2"/>
        <w:ind w:left="9214" w:right="33"/>
      </w:pPr>
    </w:p>
    <w:p w14:paraId="5E000000">
      <w:pPr>
        <w:pStyle w:val="Style_2"/>
        <w:ind w:left="9214" w:right="33"/>
      </w:pPr>
    </w:p>
    <w:p w14:paraId="5F000000">
      <w:pPr>
        <w:pStyle w:val="Style_2"/>
        <w:ind w:left="9214" w:right="33"/>
      </w:pPr>
    </w:p>
    <w:p w14:paraId="60000000">
      <w:pPr>
        <w:pStyle w:val="Style_2"/>
        <w:ind w:left="9214" w:right="33"/>
      </w:pPr>
    </w:p>
    <w:p w14:paraId="61000000">
      <w:pPr>
        <w:pStyle w:val="Style_2"/>
        <w:ind w:left="9214" w:right="33"/>
      </w:pPr>
    </w:p>
    <w:p w14:paraId="62000000">
      <w:pPr>
        <w:pStyle w:val="Style_2"/>
        <w:ind w:left="9214" w:right="33"/>
      </w:pPr>
    </w:p>
    <w:p w14:paraId="63000000">
      <w:pPr>
        <w:pStyle w:val="Style_2"/>
        <w:ind w:left="9214" w:right="33"/>
      </w:pPr>
    </w:p>
    <w:p w14:paraId="64000000">
      <w:pPr>
        <w:pStyle w:val="Style_2"/>
        <w:ind w:left="9214" w:right="33"/>
      </w:pPr>
    </w:p>
    <w:p w14:paraId="65000000">
      <w:pPr>
        <w:pStyle w:val="Style_2"/>
        <w:ind w:left="9214" w:right="33"/>
      </w:pPr>
    </w:p>
    <w:p w14:paraId="66000000">
      <w:pPr>
        <w:pStyle w:val="Style_2"/>
        <w:ind w:left="9214" w:right="33"/>
      </w:pPr>
    </w:p>
    <w:p w14:paraId="67000000">
      <w:pPr>
        <w:pStyle w:val="Style_2"/>
        <w:ind w:left="9214" w:right="33"/>
      </w:pPr>
    </w:p>
    <w:p w14:paraId="68000000">
      <w:pPr>
        <w:pStyle w:val="Style_2"/>
        <w:ind w:left="9214" w:right="33"/>
      </w:pPr>
    </w:p>
    <w:p w14:paraId="69000000">
      <w:pPr>
        <w:pStyle w:val="Style_2"/>
        <w:ind w:left="9214" w:right="33"/>
      </w:pPr>
    </w:p>
    <w:p w14:paraId="6A000000">
      <w:pPr>
        <w:pStyle w:val="Style_2"/>
        <w:ind w:left="9214" w:right="33"/>
      </w:pPr>
    </w:p>
    <w:p w14:paraId="6B000000">
      <w:pPr>
        <w:pStyle w:val="Style_2"/>
        <w:ind w:left="9214" w:right="33"/>
      </w:pPr>
    </w:p>
    <w:p w14:paraId="6C000000">
      <w:pPr>
        <w:pStyle w:val="Style_2"/>
        <w:ind w:left="9214" w:right="33"/>
      </w:pPr>
    </w:p>
    <w:p w14:paraId="6D000000">
      <w:pPr>
        <w:pStyle w:val="Style_2"/>
        <w:ind w:left="9214" w:right="33"/>
      </w:pPr>
    </w:p>
    <w:p w14:paraId="6E000000">
      <w:pPr>
        <w:pStyle w:val="Style_2"/>
        <w:ind w:left="9214" w:right="33"/>
      </w:pPr>
    </w:p>
    <w:p w14:paraId="6F000000">
      <w:pPr>
        <w:pStyle w:val="Style_2"/>
        <w:ind w:left="9214" w:right="33"/>
      </w:pPr>
    </w:p>
    <w:p w14:paraId="70000000">
      <w:pPr>
        <w:pStyle w:val="Style_2"/>
        <w:ind w:left="9214" w:right="33"/>
      </w:pPr>
    </w:p>
    <w:p w14:paraId="71000000">
      <w:pPr>
        <w:pStyle w:val="Style_2"/>
        <w:ind w:left="9214" w:right="33"/>
      </w:pPr>
    </w:p>
    <w:p w14:paraId="72000000">
      <w:pPr>
        <w:pStyle w:val="Style_2"/>
        <w:ind w:left="9214" w:right="33"/>
      </w:pPr>
    </w:p>
    <w:p w14:paraId="73000000">
      <w:pPr>
        <w:pStyle w:val="Style_2"/>
        <w:ind w:left="9214" w:right="33"/>
      </w:pPr>
    </w:p>
    <w:p w14:paraId="74000000">
      <w:pPr>
        <w:pStyle w:val="Style_2"/>
        <w:ind w:left="9214" w:right="33"/>
      </w:pPr>
    </w:p>
    <w:p w14:paraId="75000000">
      <w:pPr>
        <w:pStyle w:val="Style_2"/>
        <w:ind w:left="9214" w:right="33"/>
        <w:rPr>
          <w:b w:val="1"/>
        </w:rPr>
      </w:pPr>
      <w:r>
        <w:t>Приложение</w:t>
      </w:r>
      <w:r>
        <w:t xml:space="preserve"> 1</w:t>
      </w:r>
    </w:p>
    <w:p w14:paraId="76000000">
      <w:pPr>
        <w:pStyle w:val="Style_2"/>
        <w:ind w:left="9214" w:right="33"/>
        <w:rPr>
          <w:b w:val="1"/>
        </w:rPr>
      </w:pPr>
      <w:r>
        <w:t xml:space="preserve">к муниципальной программе   </w:t>
      </w:r>
      <w:r>
        <w:t>«</w:t>
      </w:r>
      <w:r>
        <w:t xml:space="preserve">Профилактика и противодействие проявлениям </w:t>
      </w:r>
      <w:r>
        <w:t>экстремизм</w:t>
      </w:r>
      <w:r>
        <w:t>а</w:t>
      </w:r>
      <w:r>
        <w:t xml:space="preserve"> в Увельском муниципальном округе на 2026-2028 годы»</w:t>
      </w:r>
    </w:p>
    <w:p w14:paraId="77000000">
      <w:pPr>
        <w:pStyle w:val="Style_2"/>
        <w:ind w:right="124"/>
      </w:pPr>
    </w:p>
    <w:p w14:paraId="78000000">
      <w:pPr>
        <w:pStyle w:val="Style_2"/>
        <w:ind w:right="124"/>
        <w:jc w:val="center"/>
      </w:pPr>
      <w:r>
        <w:t>Паспорт</w:t>
      </w:r>
      <w:r>
        <w:rPr>
          <w:spacing w:val="-8"/>
        </w:rPr>
        <w:t xml:space="preserve"> муниципальной </w:t>
      </w:r>
      <w:r>
        <w:t>программы</w:t>
      </w:r>
      <w:r>
        <w:rPr>
          <w:spacing w:val="1"/>
        </w:rPr>
        <w:t xml:space="preserve"> </w:t>
      </w:r>
    </w:p>
    <w:p w14:paraId="79000000">
      <w:pPr>
        <w:pStyle w:val="Style_2"/>
        <w:ind w:left="1251" w:right="1371"/>
        <w:jc w:val="center"/>
      </w:pP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противодействие</w:t>
      </w:r>
      <w:r>
        <w:rPr>
          <w:spacing w:val="-9"/>
        </w:rPr>
        <w:t xml:space="preserve"> </w:t>
      </w:r>
      <w:r>
        <w:t>проявлениям</w:t>
      </w:r>
      <w:r>
        <w:rPr>
          <w:spacing w:val="-9"/>
        </w:rPr>
        <w:t xml:space="preserve"> </w:t>
      </w:r>
      <w:r>
        <w:t>экстремизма в Увельском муниципальном округе на 2026-2028 годы»</w:t>
      </w:r>
    </w:p>
    <w:p w14:paraId="7A000000">
      <w:pPr>
        <w:pStyle w:val="Style_2"/>
        <w:ind w:left="1251" w:right="1371"/>
        <w:jc w:val="center"/>
      </w:pPr>
    </w:p>
    <w:p w14:paraId="7B000000">
      <w:pPr>
        <w:pStyle w:val="Style_2"/>
        <w:numPr>
          <w:ilvl w:val="0"/>
          <w:numId w:val="3"/>
        </w:numPr>
        <w:tabs>
          <w:tab w:leader="none" w:pos="2694" w:val="left"/>
        </w:tabs>
        <w:ind w:firstLine="0" w:left="2410" w:right="1371"/>
        <w:jc w:val="center"/>
      </w:pPr>
      <w:r>
        <w:rPr>
          <w:color w:val="000000"/>
        </w:rPr>
        <w:t>Основные положения</w:t>
      </w:r>
    </w:p>
    <w:p w14:paraId="7C000000">
      <w:pPr>
        <w:pStyle w:val="Style_2"/>
        <w:ind w:left="1251" w:right="1371"/>
        <w:jc w:val="center"/>
      </w:pPr>
    </w:p>
    <w:tbl>
      <w:tblPr>
        <w:tblStyle w:val="Style_3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52"/>
        <w:gridCol w:w="5332"/>
        <w:gridCol w:w="6184"/>
      </w:tblGrid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2"/>
              <w:ind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Куратор </w:t>
            </w:r>
            <w:r>
              <w:rPr>
                <w:spacing w:val="-4"/>
              </w:rPr>
              <w:t xml:space="preserve">муниципальной </w:t>
            </w:r>
            <w:r>
              <w:rPr>
                <w:spacing w:val="-4"/>
              </w:rPr>
              <w:t>программы</w:t>
            </w:r>
          </w:p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2"/>
              <w:ind w:left="24" w:right="25"/>
              <w:jc w:val="both"/>
            </w:pPr>
            <w:r>
              <w:t>Заместитель главы Увельского муниципального округа по безопасности и благоустройству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2"/>
              <w:ind/>
              <w:jc w:val="both"/>
            </w:pPr>
            <w:r>
              <w:rPr>
                <w:spacing w:val="-4"/>
              </w:rPr>
              <w:t xml:space="preserve">Ответственный </w:t>
            </w:r>
            <w:r>
              <w:rPr>
                <w:spacing w:val="-2"/>
              </w:rPr>
              <w:t>исполнитель программы</w:t>
            </w:r>
          </w:p>
          <w:p w14:paraId="80000000">
            <w:pPr>
              <w:pStyle w:val="Style_2"/>
              <w:ind w:firstLine="9" w:left="24" w:right="89"/>
              <w:jc w:val="both"/>
            </w:pPr>
          </w:p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2"/>
              <w:ind w:left="24" w:right="25"/>
              <w:jc w:val="both"/>
            </w:pPr>
            <w:r>
              <w:t>Администрация Увельского муниципального округа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2"/>
              <w:ind w:firstLine="10" w:left="24"/>
              <w:rPr>
                <w:spacing w:val="-4"/>
              </w:rPr>
            </w:pPr>
            <w:r>
              <w:rPr>
                <w:spacing w:val="-4"/>
              </w:rPr>
              <w:t xml:space="preserve">Соисполнители муниципальной </w:t>
            </w:r>
            <w:r>
              <w:rPr>
                <w:spacing w:val="-4"/>
              </w:rPr>
              <w:t xml:space="preserve"> программы</w:t>
            </w:r>
          </w:p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2"/>
              <w:ind w:left="35"/>
              <w:jc w:val="both"/>
            </w:pPr>
            <w:r>
              <w:t>Управление образования;</w:t>
            </w:r>
          </w:p>
          <w:p w14:paraId="84000000">
            <w:pPr>
              <w:pStyle w:val="Style_4"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МКУ «Управление культуры и молодежной политики»;</w:t>
            </w:r>
          </w:p>
          <w:p w14:paraId="85000000">
            <w:pPr>
              <w:pStyle w:val="Style_4"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МБУ «Комитет по физической культуре и спорту»;</w:t>
            </w:r>
          </w:p>
          <w:p w14:paraId="86000000">
            <w:pPr>
              <w:pStyle w:val="Style_4"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работе со СМИ Администрации;</w:t>
            </w:r>
          </w:p>
          <w:p w14:paraId="87000000">
            <w:pPr>
              <w:pStyle w:val="Style_4"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«ОКУ Центр занятости населения Увельского района»;</w:t>
            </w:r>
          </w:p>
          <w:p w14:paraId="88000000">
            <w:pPr>
              <w:pStyle w:val="Style_4"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Территориальное управление администрации;</w:t>
            </w:r>
          </w:p>
          <w:p w14:paraId="89000000">
            <w:pPr>
              <w:pStyle w:val="Style_4"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социальной защиты населения;</w:t>
            </w:r>
          </w:p>
          <w:p w14:paraId="8A000000">
            <w:pPr>
              <w:pStyle w:val="Style_4"/>
              <w:spacing w:after="0" w:line="240" w:lineRule="auto"/>
              <w:ind w:left="35"/>
              <w:jc w:val="both"/>
            </w:pPr>
            <w:r>
              <w:rPr>
                <w:rFonts w:ascii="Times New Roman" w:hAnsi="Times New Roman"/>
                <w:sz w:val="28"/>
              </w:rPr>
              <w:t>МО МВД России «Южноуральский»</w:t>
            </w:r>
          </w:p>
        </w:tc>
      </w:tr>
      <w:tr>
        <w:trPr>
          <w:trHeight w:hRule="atLeast" w:val="154"/>
        </w:trPr>
        <w:tc>
          <w:tcPr>
            <w:tcW w:type="dxa" w:w="3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2"/>
              <w:ind w:firstLine="10" w:left="24"/>
              <w:rPr>
                <w:spacing w:val="-4"/>
              </w:rPr>
            </w:pPr>
            <w:r>
              <w:rPr>
                <w:spacing w:val="-4"/>
              </w:rPr>
              <w:t>Период реализации муниципальной программы</w:t>
            </w:r>
          </w:p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2"/>
              <w:ind w:left="35"/>
              <w:jc w:val="both"/>
            </w:pPr>
            <w:r>
              <w:t xml:space="preserve">Этап </w:t>
            </w:r>
            <w:r>
              <w:t>I</w:t>
            </w:r>
            <w:r>
              <w:t>: 2026 год</w:t>
            </w:r>
          </w:p>
        </w:tc>
      </w:tr>
      <w:tr>
        <w:trPr>
          <w:trHeight w:hRule="atLeast" w:val="154"/>
        </w:trPr>
        <w:tc>
          <w:tcPr>
            <w:tcW w:type="dxa" w:w="3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2"/>
              <w:ind w:left="35"/>
              <w:jc w:val="both"/>
            </w:pPr>
            <w:r>
              <w:t xml:space="preserve">Этап </w:t>
            </w:r>
            <w:r>
              <w:t>II</w:t>
            </w:r>
            <w:r>
              <w:t>: 2027 год</w:t>
            </w:r>
          </w:p>
        </w:tc>
      </w:tr>
      <w:tr>
        <w:trPr>
          <w:trHeight w:hRule="atLeast" w:val="154"/>
        </w:trPr>
        <w:tc>
          <w:tcPr>
            <w:tcW w:type="dxa" w:w="3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2"/>
              <w:ind w:left="35"/>
              <w:jc w:val="both"/>
            </w:pPr>
            <w:r>
              <w:t xml:space="preserve">Этап </w:t>
            </w:r>
            <w:r>
              <w:t>III</w:t>
            </w:r>
            <w:r>
              <w:t>: 2028 год</w:t>
            </w:r>
          </w:p>
        </w:tc>
      </w:tr>
      <w:tr>
        <w:trPr>
          <w:trHeight w:hRule="atLeast" w:val="2254"/>
        </w:trPr>
        <w:tc>
          <w:tcPr>
            <w:tcW w:type="dxa" w:w="3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2"/>
              <w:ind w:firstLine="10" w:left="24"/>
              <w:rPr>
                <w:spacing w:val="-4"/>
              </w:rPr>
            </w:pPr>
            <w:r>
              <w:rPr>
                <w:rStyle w:val="Style_5_ch"/>
                <w:sz w:val="28"/>
              </w:rPr>
              <w:t>Цели</w:t>
            </w:r>
            <w:r>
              <w:rPr>
                <w:rStyle w:val="Style_5_ch"/>
                <w:sz w:val="28"/>
              </w:rPr>
              <w:t>/задачи</w:t>
            </w:r>
            <w:r>
              <w:rPr>
                <w:rStyle w:val="Style_5_ch"/>
                <w:sz w:val="28"/>
              </w:rPr>
              <w:t xml:space="preserve"> </w:t>
            </w:r>
            <w:r>
              <w:rPr>
                <w:rStyle w:val="Style_5_ch"/>
                <w:sz w:val="28"/>
              </w:rPr>
              <w:t>муниципальной п</w:t>
            </w:r>
            <w:r>
              <w:rPr>
                <w:rStyle w:val="Style_5_ch"/>
                <w:sz w:val="28"/>
              </w:rPr>
              <w:t>рограммы</w:t>
            </w:r>
          </w:p>
        </w:tc>
        <w:tc>
          <w:tcPr>
            <w:tcW w:type="dxa" w:w="5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2"/>
              <w:ind w:left="35"/>
              <w:jc w:val="both"/>
            </w:pPr>
            <w:r>
              <w:t xml:space="preserve">1. </w:t>
            </w:r>
            <w:r>
              <w:t>Защита основ конституционного строя Российской Федерации, прав и свобод человека и гражданина от экстремистских угроз, обеспечение государственной и общественной</w:t>
            </w:r>
            <w:r>
              <w:rPr>
                <w:spacing w:val="-2"/>
              </w:rPr>
              <w:t xml:space="preserve"> </w:t>
            </w:r>
            <w:r>
              <w:t>безопасности на</w:t>
            </w:r>
            <w:r>
              <w:rPr>
                <w:spacing w:val="-10"/>
              </w:rPr>
              <w:t xml:space="preserve"> </w:t>
            </w:r>
            <w:r>
              <w:t>территории Увельского муниципального округа</w:t>
            </w:r>
          </w:p>
        </w:tc>
        <w:tc>
          <w:tcPr>
            <w:tcW w:type="dxa" w:w="61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240" w:lineRule="auto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>Повышение эффективности государственной системы мониторинга в сфере противодействия экстремизму;</w:t>
            </w:r>
          </w:p>
          <w:p w14:paraId="92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270" w:lineRule="atLeast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 законодательства Российской Федерации и правоприменительной практики в сфере противодействия экстремизму;</w:t>
            </w:r>
          </w:p>
          <w:p w14:paraId="93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270" w:lineRule="atLeast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>Консолидация усилий субъектов противодействия экстремизму и заинтересованных организаций;</w:t>
            </w:r>
          </w:p>
          <w:p w14:paraId="94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270" w:lineRule="atLeast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      </w:r>
          </w:p>
          <w:p w14:paraId="95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240" w:lineRule="auto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основанного на традиционных российских духовно-нравственных ценностях информационного противодействия распространению </w:t>
            </w:r>
            <w:r>
              <w:rPr>
                <w:sz w:val="28"/>
              </w:rPr>
              <w:t>экстремистской</w:t>
            </w:r>
            <w:r>
              <w:rPr>
                <w:sz w:val="28"/>
              </w:rPr>
              <w:t xml:space="preserve"> и иных деструктивных идеологий;</w:t>
            </w:r>
          </w:p>
          <w:p w14:paraId="96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240" w:lineRule="auto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>Предупреждение экстремистских проявлений и формирование толерантной среды на территории округа;</w:t>
            </w:r>
          </w:p>
          <w:p w14:paraId="97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317" w:lineRule="exact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Снижение уровня уязвимости молодежи к </w:t>
            </w:r>
            <w:r>
              <w:rPr>
                <w:sz w:val="28"/>
              </w:rPr>
              <w:t>радикальной пропаганде в сети Интернет;</w:t>
            </w:r>
          </w:p>
          <w:p w14:paraId="98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317" w:lineRule="exact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>Повышение эффективности профилактики,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пресечения 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преступлений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административных</w:t>
            </w:r>
            <w:r>
              <w:rPr>
                <w:spacing w:val="-2"/>
              </w:rPr>
              <w:t xml:space="preserve"> </w:t>
            </w:r>
            <w:r>
              <w:rPr>
                <w:sz w:val="28"/>
              </w:rPr>
              <w:t>правонарушений экстремистской направленности;</w:t>
            </w:r>
          </w:p>
          <w:p w14:paraId="99000000">
            <w:pPr>
              <w:pStyle w:val="Style_6"/>
              <w:numPr>
                <w:ilvl w:val="0"/>
                <w:numId w:val="4"/>
              </w:numPr>
              <w:tabs>
                <w:tab w:leader="none" w:pos="294" w:val="left"/>
              </w:tabs>
              <w:spacing w:after="0" w:line="317" w:lineRule="exact"/>
              <w:ind w:firstLine="0" w:left="11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"/>
                <w:sz w:val="28"/>
              </w:rPr>
              <w:t>.</w:t>
            </w:r>
          </w:p>
        </w:tc>
      </w:tr>
      <w:tr>
        <w:trPr>
          <w:trHeight w:hRule="atLeast" w:val="113"/>
        </w:trPr>
        <w:tc>
          <w:tcPr>
            <w:tcW w:type="dxa" w:w="3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2"/>
              <w:ind w:left="35"/>
              <w:jc w:val="both"/>
            </w:pPr>
            <w:r>
              <w:t xml:space="preserve">2. </w:t>
            </w:r>
            <w:r>
              <w:t>Обеспечение дальнейшей реализации государственной политики в сфере противодействия экстремизму на территории Увельского муниципального округа и реализации положений</w:t>
            </w:r>
            <w:r>
              <w:rPr>
                <w:spacing w:val="47"/>
              </w:rPr>
              <w:t xml:space="preserve"> </w:t>
            </w:r>
            <w:r>
              <w:t>Федерального</w:t>
            </w:r>
            <w:r>
              <w:rPr>
                <w:spacing w:val="44"/>
              </w:rPr>
              <w:t xml:space="preserve"> </w:t>
            </w:r>
            <w:r>
              <w:t>закона</w:t>
            </w:r>
            <w:r>
              <w:rPr>
                <w:spacing w:val="39"/>
              </w:rPr>
              <w:t xml:space="preserve"> </w:t>
            </w:r>
            <w:r>
              <w:t>от</w:t>
            </w:r>
            <w:r>
              <w:rPr>
                <w:spacing w:val="44"/>
              </w:rPr>
              <w:t xml:space="preserve"> </w:t>
            </w:r>
            <w:r>
              <w:t>25</w:t>
            </w:r>
            <w:r>
              <w:rPr>
                <w:spacing w:val="53"/>
              </w:rPr>
              <w:t xml:space="preserve"> </w:t>
            </w:r>
            <w:r>
              <w:t>июля</w:t>
            </w:r>
            <w:r>
              <w:rPr>
                <w:spacing w:val="39"/>
              </w:rPr>
              <w:t xml:space="preserve"> </w:t>
            </w:r>
            <w:r>
              <w:t>2002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 xml:space="preserve">года </w:t>
            </w:r>
            <w:r>
              <w:t>№ 114-ФЗ «О противодействии экстремистской деятельности» и Указа Президента Российской Федерации</w:t>
            </w:r>
            <w:r>
              <w:rPr>
                <w:spacing w:val="46"/>
              </w:rPr>
              <w:t xml:space="preserve"> </w:t>
            </w:r>
            <w:r>
              <w:t>от 28</w:t>
            </w:r>
            <w:r>
              <w:rPr>
                <w:spacing w:val="79"/>
              </w:rPr>
              <w:t xml:space="preserve">  </w:t>
            </w:r>
            <w:r>
              <w:t>декабря</w:t>
            </w:r>
            <w:r>
              <w:rPr>
                <w:spacing w:val="50"/>
              </w:rPr>
              <w:t xml:space="preserve">  </w:t>
            </w:r>
            <w:r>
              <w:t>2024</w:t>
            </w:r>
            <w:r>
              <w:rPr>
                <w:spacing w:val="50"/>
              </w:rPr>
              <w:t xml:space="preserve">  </w:t>
            </w:r>
            <w:r>
              <w:t>года</w:t>
            </w:r>
            <w:r>
              <w:rPr>
                <w:spacing w:val="75"/>
              </w:rPr>
              <w:t xml:space="preserve">  </w:t>
            </w:r>
            <w:r>
              <w:t>№</w:t>
            </w:r>
            <w:r>
              <w:rPr>
                <w:spacing w:val="57"/>
              </w:rPr>
              <w:t xml:space="preserve">  </w:t>
            </w:r>
            <w:r>
              <w:rPr>
                <w:spacing w:val="-7"/>
              </w:rPr>
              <w:t xml:space="preserve">1124 </w:t>
            </w:r>
            <w:r>
              <w:t>«Об утверждении Стратегии противодействия экстремизму в Российской Федерации»</w:t>
            </w:r>
          </w:p>
        </w:tc>
        <w:tc>
          <w:tcPr>
            <w:tcW w:type="dxa" w:w="6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финансового обеспечения за весь период реализации  по источникам финансирования (тыс. руб.)</w:t>
            </w:r>
          </w:p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pStyle w:val="Style_6"/>
              <w:tabs>
                <w:tab w:leader="none" w:pos="1326" w:val="left"/>
              </w:tabs>
              <w:spacing w:after="0" w:line="31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2026 год – </w:t>
            </w:r>
            <w:r>
              <w:rPr>
                <w:sz w:val="28"/>
              </w:rPr>
              <w:t>46</w:t>
            </w:r>
            <w:r>
              <w:rPr>
                <w:sz w:val="28"/>
              </w:rPr>
              <w:t>0 тыс. руб.</w:t>
            </w:r>
            <w:r>
              <w:rPr>
                <w:sz w:val="28"/>
              </w:rPr>
              <w:t xml:space="preserve"> (местный бюджет)</w:t>
            </w:r>
          </w:p>
          <w:p w14:paraId="9D000000">
            <w:pPr>
              <w:pStyle w:val="Style_6"/>
              <w:tabs>
                <w:tab w:leader="none" w:pos="1326" w:val="left"/>
              </w:tabs>
              <w:spacing w:after="0" w:line="31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2027 год – 0 тыс. руб.</w:t>
            </w:r>
          </w:p>
          <w:p w14:paraId="9E000000">
            <w:pPr>
              <w:pStyle w:val="Style_6"/>
              <w:tabs>
                <w:tab w:leader="none" w:pos="1326" w:val="left"/>
              </w:tabs>
              <w:spacing w:after="0" w:line="31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2028 год – 0 тыс. руб.</w:t>
            </w:r>
            <w:bookmarkStart w:id="1" w:name="_GoBack"/>
            <w:bookmarkEnd w:id="1"/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 xml:space="preserve">Связь с национальными целями </w:t>
            </w:r>
            <w:r>
              <w:rPr>
                <w:rFonts w:ascii="Times New Roman" w:hAnsi="Times New Roman"/>
                <w:sz w:val="28"/>
              </w:rPr>
              <w:t>развития Российской Федерации</w:t>
            </w:r>
          </w:p>
        </w:tc>
        <w:tc>
          <w:tcPr>
            <w:tcW w:type="dxa" w:w="115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2"/>
              <w:ind/>
              <w:jc w:val="both"/>
            </w:pPr>
            <w:r>
              <w:rPr>
                <w:spacing w:val="25"/>
              </w:rPr>
              <w:t xml:space="preserve">Программа разработана для </w:t>
            </w:r>
            <w:r>
              <w:t>реализации</w:t>
            </w:r>
            <w:r>
              <w:rPr>
                <w:spacing w:val="32"/>
              </w:rPr>
              <w:t xml:space="preserve">  </w:t>
            </w:r>
            <w:r>
              <w:t>Стратегии</w:t>
            </w:r>
            <w:r>
              <w:rPr>
                <w:spacing w:val="30"/>
              </w:rPr>
              <w:t xml:space="preserve">  </w:t>
            </w:r>
            <w:r>
              <w:t>противодействия</w:t>
            </w:r>
            <w:r>
              <w:rPr>
                <w:spacing w:val="31"/>
              </w:rPr>
              <w:t xml:space="preserve">  </w:t>
            </w:r>
            <w:r>
              <w:t>экстремизму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 xml:space="preserve">в </w:t>
            </w:r>
            <w:r>
              <w:t>Российской Федерации, утвержденной Указом Президента Российской Федерации от 28 декабря 2024 года № 1124 «Об утверждении Стратегии противодействия экстремизму в Российской Федерации»</w:t>
            </w:r>
          </w:p>
        </w:tc>
      </w:tr>
    </w:tbl>
    <w:p w14:paraId="A1000000"/>
    <w:p w14:paraId="A2000000">
      <w:pPr>
        <w:pStyle w:val="Style_1"/>
        <w:widowControl w:val="1"/>
        <w:spacing w:after="120" w:before="120"/>
        <w:ind w:left="22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Показатели муниципальной программы</w:t>
      </w:r>
    </w:p>
    <w:p w14:paraId="A3000000">
      <w:pPr>
        <w:pStyle w:val="Style_1"/>
        <w:spacing w:after="120" w:before="120"/>
        <w:ind w:left="222"/>
        <w:rPr>
          <w:rFonts w:ascii="Times New Roman" w:hAnsi="Times New Roman"/>
          <w:b w:val="1"/>
          <w:sz w:val="28"/>
        </w:rPr>
      </w:pPr>
    </w:p>
    <w:tbl>
      <w:tblPr>
        <w:tblStyle w:val="Style_3"/>
        <w:tblW w:type="auto" w:w="0"/>
        <w:tblInd w:type="dxa" w:w="108"/>
        <w:tblLayout w:type="fixed"/>
      </w:tblPr>
      <w:tblGrid>
        <w:gridCol w:w="656"/>
        <w:gridCol w:w="5723"/>
        <w:gridCol w:w="1276"/>
        <w:gridCol w:w="1416"/>
        <w:gridCol w:w="852"/>
        <w:gridCol w:w="850"/>
        <w:gridCol w:w="851"/>
        <w:gridCol w:w="3357"/>
      </w:tblGrid>
      <w:tr>
        <w:tc>
          <w:tcPr>
            <w:tcW w:type="dxa" w:w="6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type="dxa" w:w="57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ind/>
              <w:jc w:val="center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 xml:space="preserve">Единица </w:t>
            </w:r>
            <w:r>
              <w:rPr>
                <w:rFonts w:ascii="Times New Roman" w:hAnsi="Times New Roman"/>
                <w:spacing w:val="-2"/>
                <w:sz w:val="28"/>
              </w:rPr>
              <w:t>изм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Базовое</w:t>
            </w:r>
          </w:p>
          <w:p w14:paraId="A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</w:t>
            </w:r>
          </w:p>
          <w:p w14:paraId="A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2025 г.</w:t>
            </w:r>
          </w:p>
        </w:tc>
        <w:tc>
          <w:tcPr>
            <w:tcW w:type="dxa" w:w="255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показателей, годы</w:t>
            </w:r>
          </w:p>
        </w:tc>
        <w:tc>
          <w:tcPr>
            <w:tcW w:type="dxa" w:w="33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за достижение показателя</w:t>
            </w:r>
          </w:p>
        </w:tc>
      </w:tr>
      <w:tr>
        <w:tc>
          <w:tcPr>
            <w:tcW w:type="dxa" w:w="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7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33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>
        <w:tc>
          <w:tcPr>
            <w:tcW w:type="dxa" w:w="149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 муниципальной программы </w:t>
            </w:r>
            <w:r>
              <w:rPr>
                <w:rFonts w:ascii="Times New Roman" w:hAnsi="Times New Roman"/>
                <w:sz w:val="28"/>
              </w:rPr>
              <w:t>- р</w:t>
            </w:r>
            <w:r>
              <w:rPr>
                <w:rFonts w:ascii="Times New Roman" w:hAnsi="Times New Roman"/>
                <w:sz w:val="28"/>
              </w:rPr>
              <w:t>азвитие системы</w:t>
            </w:r>
            <w:r>
              <w:rPr>
                <w:rFonts w:ascii="Times New Roman" w:hAnsi="Times New Roman"/>
                <w:i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профилактик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и противодействию проявлениям экстремизма </w:t>
            </w:r>
          </w:p>
        </w:tc>
      </w:tr>
      <w:tr>
        <w:tc>
          <w:tcPr>
            <w:tcW w:type="dxa" w:w="149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1.Повышение эффективности профилактики, выявления и пресечения преступлений и административных правонарушений экстремистской направленности. Повышен</w:t>
            </w:r>
            <w:r>
              <w:rPr>
                <w:rFonts w:ascii="Times New Roman" w:hAnsi="Times New Roman"/>
                <w:sz w:val="28"/>
              </w:rPr>
              <w:t>ие уровня патриотизма населения</w:t>
            </w:r>
            <w:r>
              <w:rPr>
                <w:rFonts w:ascii="Times New Roman" w:hAnsi="Times New Roman"/>
                <w:sz w:val="28"/>
              </w:rPr>
              <w:t>, обеспечение равноправия граждан и их конституционных прав</w:t>
            </w:r>
          </w:p>
        </w:tc>
      </w:tr>
      <w:t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доли граждан, положительно оценивающих деятельность органов местного самоуправления, работу по профилактике и противодействию экстремизму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</w:rPr>
              <w:t>Увел</w:t>
            </w:r>
            <w:r>
              <w:rPr>
                <w:rFonts w:ascii="Times New Roman" w:hAnsi="Times New Roman"/>
                <w:sz w:val="28"/>
              </w:rPr>
              <w:t>ьского муниципального округа</w:t>
            </w:r>
          </w:p>
        </w:tc>
      </w:tr>
      <w:tr>
        <w:tc>
          <w:tcPr>
            <w:tcW w:type="dxa" w:w="149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Консолидация усилий субъектов противодействия экстремизму и заинтересованных организаций на территории </w:t>
            </w:r>
            <w:r>
              <w:rPr>
                <w:rFonts w:ascii="Times New Roman" w:hAnsi="Times New Roman"/>
                <w:sz w:val="28"/>
              </w:rPr>
              <w:t>Увельс</w:t>
            </w:r>
            <w:r>
              <w:rPr>
                <w:rFonts w:ascii="Times New Roman" w:hAnsi="Times New Roman"/>
                <w:sz w:val="28"/>
              </w:rPr>
              <w:t>кого муниципального округа Челябинской области</w:t>
            </w:r>
          </w:p>
        </w:tc>
      </w:tr>
      <w:t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вовлечённых в мероприятия, направленные на профилактику экстремизма от общего количества учащихся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</w:rPr>
              <w:t>Увел</w:t>
            </w:r>
            <w:r>
              <w:rPr>
                <w:rFonts w:ascii="Times New Roman" w:hAnsi="Times New Roman"/>
                <w:sz w:val="28"/>
              </w:rPr>
              <w:t>ьского муниципального округа</w:t>
            </w:r>
          </w:p>
        </w:tc>
      </w:tr>
      <w:t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мероприятий (заседаний, совещаний, семинаров, рабочих групп) в сфере профилактики проявлений</w:t>
            </w:r>
            <w:r>
              <w:rPr>
                <w:rFonts w:ascii="Times New Roman" w:hAnsi="Times New Roman"/>
                <w:sz w:val="28"/>
              </w:rPr>
              <w:t xml:space="preserve"> экстремизма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</w:rPr>
              <w:t>Увел</w:t>
            </w:r>
            <w:r>
              <w:rPr>
                <w:rFonts w:ascii="Times New Roman" w:hAnsi="Times New Roman"/>
                <w:sz w:val="28"/>
              </w:rPr>
              <w:t>ьского муниципального округа</w:t>
            </w:r>
          </w:p>
        </w:tc>
      </w:tr>
      <w:tr>
        <w:tc>
          <w:tcPr>
            <w:tcW w:type="dxa" w:w="1498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</w:t>
            </w:r>
          </w:p>
        </w:tc>
      </w:tr>
      <w:tr>
        <w:trPr>
          <w:trHeight w:hRule="atLeast" w:val="1114"/>
        </w:trP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разработанных, изготовленных, распространенных и размещенных наглядных и тематических материалов, атрибутики по профилактике проявлений</w:t>
            </w:r>
            <w:r>
              <w:rPr>
                <w:rFonts w:ascii="Times New Roman" w:hAnsi="Times New Roman"/>
                <w:sz w:val="28"/>
              </w:rPr>
              <w:t xml:space="preserve"> экстремизма</w:t>
            </w:r>
          </w:p>
          <w:p w14:paraId="D5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ind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</w:rPr>
              <w:t>Увел</w:t>
            </w:r>
            <w:r>
              <w:rPr>
                <w:rFonts w:ascii="Times New Roman" w:hAnsi="Times New Roman"/>
                <w:sz w:val="28"/>
              </w:rPr>
              <w:t>ьского муниципального округа</w:t>
            </w:r>
          </w:p>
        </w:tc>
      </w:tr>
      <w:t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ind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 xml:space="preserve">Количество подготовленной и размещенной информации по профилактике </w:t>
            </w:r>
            <w:r>
              <w:rPr>
                <w:rFonts w:ascii="Times New Roman" w:hAnsi="Times New Roman"/>
                <w:sz w:val="28"/>
              </w:rPr>
              <w:t>проявлений</w:t>
            </w:r>
            <w:r>
              <w:rPr>
                <w:rFonts w:ascii="Times New Roman" w:hAnsi="Times New Roman"/>
                <w:sz w:val="28"/>
              </w:rPr>
              <w:t xml:space="preserve"> экстремизма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через средства массовой информации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ind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образования, </w:t>
            </w:r>
            <w:r>
              <w:rPr>
                <w:rFonts w:ascii="Times New Roman" w:hAnsi="Times New Roman"/>
                <w:sz w:val="28"/>
              </w:rPr>
              <w:t>МКУ «</w:t>
            </w:r>
            <w:r>
              <w:rPr>
                <w:rFonts w:ascii="Times New Roman" w:hAnsi="Times New Roman"/>
                <w:sz w:val="28"/>
              </w:rPr>
              <w:t>Управление культуры</w:t>
            </w:r>
            <w:r>
              <w:rPr>
                <w:rFonts w:ascii="Times New Roman" w:hAnsi="Times New Roman"/>
                <w:sz w:val="28"/>
              </w:rPr>
              <w:t xml:space="preserve"> и молодежной политики»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МКУ «Комитет по ФК и спорту», отдел по работе со СМИ</w:t>
            </w:r>
          </w:p>
        </w:tc>
      </w:tr>
      <w:t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3.3.</w:t>
            </w: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ind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 xml:space="preserve">Мониторинг размещаемой информации в средствах массовой информации, общественных организаций и объединений, в том числе в компьютерных сетях в целях </w:t>
            </w:r>
            <w:r>
              <w:rPr>
                <w:rFonts w:ascii="Times New Roman" w:hAnsi="Times New Roman"/>
                <w:spacing w:val="-4"/>
                <w:sz w:val="28"/>
              </w:rPr>
              <w:t>недопущения призывов экстремистским проявлениям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</w:t>
            </w:r>
            <w:r>
              <w:rPr>
                <w:rFonts w:ascii="Times New Roman" w:hAnsi="Times New Roman"/>
                <w:sz w:val="28"/>
              </w:rPr>
              <w:t>я</w:t>
            </w:r>
            <w:r>
              <w:rPr>
                <w:rFonts w:ascii="Times New Roman" w:hAnsi="Times New Roman"/>
                <w:sz w:val="28"/>
              </w:rPr>
              <w:t xml:space="preserve"> округа, </w:t>
            </w:r>
            <w:r>
              <w:rPr>
                <w:rFonts w:ascii="Times New Roman" w:hAnsi="Times New Roman"/>
                <w:sz w:val="28"/>
              </w:rPr>
              <w:t>ОП «Увельский»</w:t>
            </w:r>
          </w:p>
        </w:tc>
      </w:tr>
      <w:t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3.4.</w:t>
            </w:r>
          </w:p>
        </w:tc>
        <w:tc>
          <w:tcPr>
            <w:tcW w:type="dxa" w:w="5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мероприятий  (лекций, массовых, культурных, спортивных и т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д.) по вопросам профилактики проявлений</w:t>
            </w:r>
            <w:r>
              <w:rPr>
                <w:rFonts w:ascii="Times New Roman" w:hAnsi="Times New Roman"/>
                <w:sz w:val="28"/>
              </w:rPr>
              <w:t xml:space="preserve"> экстремизма</w:t>
            </w:r>
            <w:r>
              <w:rPr>
                <w:rFonts w:ascii="Times New Roman" w:hAnsi="Times New Roman"/>
                <w:sz w:val="28"/>
              </w:rPr>
              <w:t>, от общего количества запланированных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3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образования, </w:t>
            </w:r>
            <w:r>
              <w:rPr>
                <w:rFonts w:ascii="Times New Roman" w:hAnsi="Times New Roman"/>
                <w:sz w:val="28"/>
              </w:rPr>
              <w:t>МКУ «</w:t>
            </w:r>
            <w:r>
              <w:rPr>
                <w:rFonts w:ascii="Times New Roman" w:hAnsi="Times New Roman"/>
                <w:sz w:val="28"/>
              </w:rPr>
              <w:t>Управление культуры</w:t>
            </w:r>
            <w:r>
              <w:rPr>
                <w:rFonts w:ascii="Times New Roman" w:hAnsi="Times New Roman"/>
                <w:sz w:val="28"/>
              </w:rPr>
              <w:t xml:space="preserve"> и молодежной политики»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МКУ «Комитет по ФК и спорту»</w:t>
            </w:r>
          </w:p>
        </w:tc>
      </w:tr>
    </w:tbl>
    <w:p w14:paraId="F4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F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Прокси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показатели муниципальной программы «Профилактика и противодействие проявлениям экстремизма в </w:t>
      </w:r>
      <w:r>
        <w:rPr>
          <w:rFonts w:ascii="Times New Roman" w:hAnsi="Times New Roman"/>
          <w:sz w:val="28"/>
        </w:rPr>
        <w:t>Увель</w:t>
      </w:r>
      <w:r>
        <w:rPr>
          <w:rFonts w:ascii="Times New Roman" w:hAnsi="Times New Roman"/>
          <w:sz w:val="28"/>
        </w:rPr>
        <w:t xml:space="preserve">ском муниципальном </w:t>
      </w:r>
      <w:r>
        <w:rPr>
          <w:rFonts w:ascii="Times New Roman" w:hAnsi="Times New Roman"/>
          <w:sz w:val="28"/>
        </w:rPr>
        <w:t>округе</w:t>
      </w:r>
      <w:r>
        <w:rPr>
          <w:rFonts w:ascii="Times New Roman" w:hAnsi="Times New Roman"/>
          <w:sz w:val="28"/>
        </w:rPr>
        <w:t xml:space="preserve"> на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– 2028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оды»</w:t>
      </w:r>
    </w:p>
    <w:p w14:paraId="F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отсутствуют</w:t>
      </w:r>
    </w:p>
    <w:tbl>
      <w:tblPr>
        <w:tblStyle w:val="Style_3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801"/>
        <w:gridCol w:w="3126"/>
        <w:gridCol w:w="1715"/>
        <w:gridCol w:w="1559"/>
        <w:gridCol w:w="1417"/>
        <w:gridCol w:w="911"/>
        <w:gridCol w:w="911"/>
        <w:gridCol w:w="912"/>
        <w:gridCol w:w="782"/>
        <w:gridCol w:w="912"/>
        <w:gridCol w:w="2074"/>
      </w:tblGrid>
      <w:tr>
        <w:tc>
          <w:tcPr>
            <w:tcW w:type="dxa" w:w="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type="dxa" w:w="3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  <w:r>
              <w:rPr>
                <w:rFonts w:ascii="Times New Roman" w:hAnsi="Times New Roman"/>
                <w:sz w:val="28"/>
                <w:vertAlign w:val="superscript"/>
              </w:rPr>
              <w:t> 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begin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instrText>HYPERLINK "https://internet.garant.ru/document/redirect/406433319/2121"</w:instrTex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separate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t>19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end"/>
            </w:r>
          </w:p>
        </w:tc>
        <w:tc>
          <w:tcPr>
            <w:tcW w:type="dxa" w:w="17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Признак возрастания/ убывания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Единица измерения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(по </w: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7_ch"/>
                <w:rFonts w:ascii="Times New Roman" w:hAnsi="Times New Roman"/>
                <w:sz w:val="28"/>
              </w:rPr>
              <w:instrText>HYPERLINK "https://internet.garant.ru/document/redirect/179222/0"</w:instrTex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7_ch"/>
                <w:rFonts w:ascii="Times New Roman" w:hAnsi="Times New Roman"/>
                <w:sz w:val="28"/>
              </w:rPr>
              <w:t>ОКЕИ</w: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23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Базовое значение</w:t>
            </w:r>
            <w:r>
              <w:rPr>
                <w:rFonts w:ascii="Times New Roman" w:hAnsi="Times New Roman"/>
                <w:sz w:val="28"/>
                <w:vertAlign w:val="superscript"/>
              </w:rPr>
              <w:t> 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begin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instrText>HYPERLINK "https://internet.garant.ru/document/redirect/406433319/222222"</w:instrTex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separate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t>20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end"/>
            </w:r>
          </w:p>
        </w:tc>
        <w:tc>
          <w:tcPr>
            <w:tcW w:type="dxa" w:w="351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показателя по кварталам/месяцам</w:t>
            </w:r>
          </w:p>
        </w:tc>
        <w:tc>
          <w:tcPr>
            <w:tcW w:type="dxa" w:w="20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  <w:r>
              <w:rPr>
                <w:rFonts w:ascii="Times New Roman" w:hAnsi="Times New Roman"/>
                <w:sz w:val="28"/>
              </w:rPr>
              <w:t xml:space="preserve"> за достижение показателя</w:t>
            </w:r>
            <w:r>
              <w:rPr>
                <w:rFonts w:ascii="Times New Roman" w:hAnsi="Times New Roman"/>
                <w:sz w:val="28"/>
                <w:vertAlign w:val="superscript"/>
              </w:rPr>
              <w:t> 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begin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instrText>HYPERLINK "https://internet.garant.ru/document/redirect/406433319/2323"</w:instrTex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separate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t>21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end"/>
            </w:r>
          </w:p>
        </w:tc>
      </w:tr>
      <w:tr>
        <w:tc>
          <w:tcPr>
            <w:tcW w:type="dxa" w:w="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</w:t>
            </w:r>
            <w:r>
              <w:rPr>
                <w:rFonts w:ascii="Times New Roman" w:hAnsi="Times New Roman"/>
                <w:sz w:val="28"/>
                <w:vertAlign w:val="superscript"/>
              </w:rPr>
              <w:t> 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begin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instrText>HYPERLINK "https://internet.garant.ru/document/redirect/406433319/2424"</w:instrTex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separate"/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t>22</w:t>
            </w:r>
            <w:r>
              <w:rPr>
                <w:rStyle w:val="Style_7_ch"/>
                <w:rFonts w:ascii="Times New Roman" w:hAnsi="Times New Roman"/>
                <w:sz w:val="28"/>
                <w:vertAlign w:val="superscript"/>
              </w:rPr>
              <w:fldChar w:fldCharType="end"/>
            </w: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</w:t>
            </w:r>
            <w:r>
              <w:rPr>
                <w:rFonts w:ascii="Times New Roman" w:hAnsi="Times New Roman"/>
                <w:sz w:val="28"/>
              </w:rPr>
              <w:t>+1</w:t>
            </w:r>
          </w:p>
        </w:tc>
        <w:tc>
          <w:tcPr>
            <w:tcW w:type="dxa" w:w="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...</w:t>
            </w: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</w:t>
            </w:r>
            <w:r>
              <w:rPr>
                <w:rFonts w:ascii="Times New Roman" w:hAnsi="Times New Roman"/>
                <w:sz w:val="28"/>
              </w:rPr>
              <w:t>+</w:t>
            </w:r>
            <w:r>
              <w:rPr>
                <w:rFonts w:ascii="Times New Roman" w:hAnsi="Times New Roman"/>
                <w:sz w:val="28"/>
              </w:rPr>
              <w:t>n</w:t>
            </w:r>
          </w:p>
        </w:tc>
        <w:tc>
          <w:tcPr>
            <w:tcW w:type="dxa" w:w="20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2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bookmarkStart w:id="2" w:name="sub_20211"/>
            <w:r>
              <w:rPr>
                <w:rFonts w:ascii="Times New Roman" w:hAnsi="Times New Roman"/>
                <w:sz w:val="28"/>
              </w:rPr>
              <w:t>1</w:t>
            </w:r>
            <w:bookmarkEnd w:id="2"/>
          </w:p>
        </w:tc>
        <w:tc>
          <w:tcPr>
            <w:tcW w:type="dxa" w:w="14319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Показатель муниципальной программы "Наименование", ед. измерения по </w: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7_ch"/>
                <w:rFonts w:ascii="Times New Roman" w:hAnsi="Times New Roman"/>
                <w:sz w:val="28"/>
              </w:rPr>
              <w:instrText>HYPERLINK "https://internet.garant.ru/document/redirect/179222/0"</w:instrTex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7_ch"/>
                <w:rFonts w:ascii="Times New Roman" w:hAnsi="Times New Roman"/>
                <w:sz w:val="28"/>
              </w:rPr>
              <w:t>ОКЕИ</w: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bookmarkStart w:id="3" w:name="sub_22111"/>
            <w:r>
              <w:rPr>
                <w:rFonts w:ascii="Times New Roman" w:hAnsi="Times New Roman"/>
                <w:sz w:val="28"/>
              </w:rPr>
              <w:t>1.1</w:t>
            </w:r>
            <w:bookmarkEnd w:id="3"/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"Наименование </w:t>
            </w:r>
            <w:r>
              <w:rPr>
                <w:rFonts w:ascii="Times New Roman" w:hAnsi="Times New Roman"/>
                <w:sz w:val="28"/>
              </w:rPr>
              <w:t>прокси-показателя</w:t>
            </w:r>
            <w:r>
              <w:rPr>
                <w:rFonts w:ascii="Times New Roman" w:hAnsi="Times New Roman"/>
                <w:sz w:val="28"/>
              </w:rPr>
              <w:t>"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>N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</w:t>
            </w:r>
          </w:p>
        </w:tc>
        <w:tc>
          <w:tcPr>
            <w:tcW w:type="dxa" w:w="14319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Показатель муниципальной программы "Наименование", ед. измерения по </w: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7_ch"/>
                <w:rFonts w:ascii="Times New Roman" w:hAnsi="Times New Roman"/>
                <w:sz w:val="28"/>
              </w:rPr>
              <w:instrText>HYPERLINK "https://internet.garant.ru/document/redirect/179222/0"</w:instrTex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7_ch"/>
                <w:rFonts w:ascii="Times New Roman" w:hAnsi="Times New Roman"/>
                <w:sz w:val="28"/>
              </w:rPr>
              <w:t>ОКЕИ</w:t>
            </w:r>
            <w:r>
              <w:rPr>
                <w:rStyle w:val="Style_7_ch"/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n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...</w:t>
            </w:r>
          </w:p>
        </w:tc>
        <w:tc>
          <w:tcPr>
            <w:tcW w:type="dxa" w:w="17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1010000">
      <w:pPr>
        <w:ind/>
        <w:jc w:val="center"/>
        <w:rPr>
          <w:rFonts w:ascii="Times New Roman" w:hAnsi="Times New Roman"/>
          <w:b w:val="1"/>
          <w:sz w:val="28"/>
        </w:rPr>
      </w:pPr>
    </w:p>
    <w:p w14:paraId="32010000">
      <w:pPr>
        <w:pStyle w:val="Style_1"/>
        <w:ind w:firstLine="486" w:left="22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План достижения показателей муниципальной программы в 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оду</w:t>
      </w:r>
    </w:p>
    <w:tbl>
      <w:tblPr>
        <w:tblStyle w:val="Style_3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980"/>
        <w:gridCol w:w="4407"/>
        <w:gridCol w:w="1701"/>
        <w:gridCol w:w="604"/>
        <w:gridCol w:w="605"/>
        <w:gridCol w:w="604"/>
        <w:gridCol w:w="605"/>
        <w:gridCol w:w="605"/>
        <w:gridCol w:w="604"/>
        <w:gridCol w:w="605"/>
        <w:gridCol w:w="605"/>
        <w:gridCol w:w="604"/>
        <w:gridCol w:w="605"/>
        <w:gridCol w:w="900"/>
        <w:gridCol w:w="1275"/>
      </w:tblGrid>
      <w:tr>
        <w:tc>
          <w:tcPr>
            <w:tcW w:type="dxa" w:w="9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 </w:t>
            </w:r>
          </w:p>
          <w:p w14:paraId="3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type="dxa" w:w="44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Цель/показатели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Единица измерения </w:t>
            </w:r>
          </w:p>
        </w:tc>
        <w:tc>
          <w:tcPr>
            <w:tcW w:type="dxa" w:w="6946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Плановые значения по месяцам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конец</w:t>
            </w:r>
          </w:p>
          <w:p w14:paraId="3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года</w:t>
            </w:r>
            <w:r>
              <w:rPr>
                <w:rFonts w:ascii="Times New Roman" w:hAnsi="Times New Roman"/>
                <w:sz w:val="28"/>
                <w:vertAlign w:val="superscript"/>
              </w:rPr>
              <w:t> </w:t>
            </w:r>
          </w:p>
        </w:tc>
      </w:tr>
      <w:tr>
        <w:tc>
          <w:tcPr>
            <w:tcW w:type="dxa" w:w="9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</w:tbl>
    <w:tbl>
      <w:tblPr>
        <w:tblStyle w:val="Style_8"/>
        <w:tblW w:type="auto" w:w="0"/>
        <w:tblLayout w:type="fixed"/>
      </w:tblPr>
      <w:tblGrid>
        <w:gridCol w:w="980"/>
        <w:gridCol w:w="4372"/>
        <w:gridCol w:w="1691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6"/>
        <w:gridCol w:w="1275"/>
      </w:tblGrid>
      <w:tr>
        <w:trPr>
          <w:trHeight w:hRule="atLeast" w:val="327"/>
        </w:trPr>
        <w:tc>
          <w:tcPr>
            <w:tcW w:type="dxa" w:w="15304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</w:t>
            </w:r>
            <w:r>
              <w:rPr>
                <w:rFonts w:ascii="Times New Roman" w:hAnsi="Times New Roman"/>
                <w:sz w:val="28"/>
              </w:rPr>
              <w:t>.  «Развитие системы</w:t>
            </w:r>
            <w:r>
              <w:rPr>
                <w:rFonts w:ascii="Times New Roman" w:hAnsi="Times New Roman"/>
                <w:i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профилактики проявлений экстремизма в </w:t>
            </w:r>
            <w:r>
              <w:rPr>
                <w:rFonts w:ascii="Times New Roman" w:hAnsi="Times New Roman"/>
                <w:sz w:val="28"/>
              </w:rPr>
              <w:t>Увельском муниципальном округе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rPr>
          <w:trHeight w:hRule="atLeast" w:val="327"/>
        </w:trPr>
        <w:tc>
          <w:tcPr>
            <w:tcW w:type="dxa" w:w="15304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муниципальной программы (комплексная программа): Повышение эффективности профилактики, выявления и пресечения преступлений и административных правонарушений экстремистской направленности. Повышение уровня патриотизма населения округа, обеспечение равноправия граждан и их конституционных прав</w:t>
            </w:r>
          </w:p>
        </w:tc>
      </w:tr>
      <w:tr>
        <w:trPr>
          <w:trHeight w:hRule="atLeast" w:val="283"/>
        </w:trPr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4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доли граждан, положительно оценивающих деятельность органов местного самоуправления, работу по профилактике и противодействию экстремизму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</w:tr>
      <w:tr>
        <w:trPr>
          <w:trHeight w:hRule="atLeast" w:val="283"/>
        </w:trPr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tabs>
                <w:tab w:leader="none" w:pos="69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вовлечённых в мероприятия, направленные на профилактику экстремизма от общего количества учащихся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Процентов 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</w:tr>
      <w:tr>
        <w:trPr>
          <w:trHeight w:hRule="atLeast" w:val="856"/>
        </w:trPr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подготовленной и размещенной информации по профилактике проявлений экстремизма через средства массовой информации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Единиц 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</w:tbl>
    <w:p w14:paraId="8301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Структура муниципальной программы</w:t>
      </w:r>
    </w:p>
    <w:p w14:paraId="84010000">
      <w:pPr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593"/>
        <w:gridCol w:w="4480"/>
        <w:gridCol w:w="144"/>
        <w:gridCol w:w="3477"/>
        <w:gridCol w:w="6659"/>
      </w:tblGrid>
      <w:tr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tabs>
                <w:tab w:leader="none" w:pos="6521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</w:t>
            </w:r>
            <w:r>
              <w:rPr>
                <w:rFonts w:ascii="Times New Roman" w:hAnsi="Times New Roman"/>
                <w:b w:val="1"/>
                <w:sz w:val="28"/>
              </w:rPr>
              <w:t>п</w:t>
            </w:r>
            <w:r>
              <w:rPr>
                <w:rFonts w:ascii="Times New Roman" w:hAnsi="Times New Roman"/>
                <w:b w:val="1"/>
                <w:sz w:val="28"/>
              </w:rPr>
              <w:t>/</w:t>
            </w:r>
            <w:r>
              <w:rPr>
                <w:rFonts w:ascii="Times New Roman" w:hAnsi="Times New Roman"/>
                <w:b w:val="1"/>
                <w:sz w:val="28"/>
              </w:rPr>
              <w:t>п</w:t>
            </w:r>
          </w:p>
        </w:tc>
        <w:tc>
          <w:tcPr>
            <w:tcW w:type="dxa" w:w="462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tabs>
                <w:tab w:leader="none" w:pos="6521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Задачи структурного элемента</w:t>
            </w:r>
          </w:p>
        </w:tc>
        <w:tc>
          <w:tcPr>
            <w:tcW w:type="dxa" w:w="3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tabs>
                <w:tab w:leader="none" w:pos="6521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Краткое описание ожидаемых эффектов от реализации задачи</w:t>
            </w:r>
          </w:p>
        </w:tc>
        <w:tc>
          <w:tcPr>
            <w:tcW w:type="dxa" w:w="6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tabs>
                <w:tab w:leader="none" w:pos="6521" w:val="left"/>
              </w:tabs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Связь с показателями</w:t>
            </w:r>
          </w:p>
        </w:tc>
      </w:tr>
      <w:tr>
        <w:trPr>
          <w:trHeight w:hRule="atLeast" w:val="355"/>
        </w:trPr>
        <w:tc>
          <w:tcPr>
            <w:tcW w:type="dxa" w:w="1535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tabs>
                <w:tab w:leader="none" w:pos="6521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Комплекс процессных мероприятий «</w:t>
            </w:r>
            <w:r>
              <w:rPr>
                <w:rFonts w:ascii="Times New Roman" w:hAnsi="Times New Roman"/>
                <w:sz w:val="28"/>
              </w:rPr>
              <w:t>Мероприятие по профилактике и противодействию проявлениям экстремизма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869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  <w:r>
              <w:rPr>
                <w:rFonts w:ascii="Times New Roman" w:hAnsi="Times New Roman"/>
                <w:sz w:val="28"/>
              </w:rPr>
              <w:t xml:space="preserve"> за реализацию: Администрация </w:t>
            </w:r>
            <w:r>
              <w:rPr>
                <w:rFonts w:ascii="Times New Roman" w:hAnsi="Times New Roman"/>
                <w:sz w:val="28"/>
              </w:rPr>
              <w:t>Увель</w:t>
            </w:r>
            <w:r>
              <w:rPr>
                <w:rFonts w:ascii="Times New Roman" w:hAnsi="Times New Roman"/>
                <w:sz w:val="28"/>
              </w:rPr>
              <w:t>ского муниципального округа</w:t>
            </w:r>
          </w:p>
        </w:tc>
        <w:tc>
          <w:tcPr>
            <w:tcW w:type="dxa" w:w="6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tabs>
                <w:tab w:leader="none" w:pos="6521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реализации: 2026-2028</w:t>
            </w:r>
          </w:p>
        </w:tc>
      </w:tr>
      <w:tr>
        <w:trPr>
          <w:trHeight w:hRule="atLeast" w:val="150"/>
        </w:trPr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tabs>
                <w:tab w:leader="none" w:pos="6521" w:val="left"/>
              </w:tabs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4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и проведение информационно-пропагандистских </w:t>
            </w:r>
            <w:r>
              <w:rPr>
                <w:rFonts w:ascii="Times New Roman" w:hAnsi="Times New Roman"/>
                <w:sz w:val="28"/>
              </w:rPr>
              <w:t>мероприятий, профилактической работы по разъяснению сущности экстремизма и его общественной опасности, а также по формированию у граждан неприятия экстремисткой идеологии</w:t>
            </w:r>
          </w:p>
        </w:tc>
        <w:tc>
          <w:tcPr>
            <w:tcW w:type="dxa" w:w="362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Увеличено количество мероприятий, печатной </w:t>
            </w:r>
            <w:r>
              <w:rPr>
                <w:rFonts w:ascii="Times New Roman" w:hAnsi="Times New Roman"/>
                <w:sz w:val="28"/>
              </w:rPr>
              <w:t xml:space="preserve">продукции, наглядной агитации и атрибутики в сфере профилактики </w:t>
            </w:r>
            <w:r>
              <w:rPr>
                <w:rFonts w:ascii="Times New Roman" w:hAnsi="Times New Roman"/>
                <w:sz w:val="28"/>
              </w:rPr>
              <w:t>проявлений экстремизма</w:t>
            </w:r>
          </w:p>
        </w:tc>
        <w:tc>
          <w:tcPr>
            <w:tcW w:type="dxa" w:w="6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мероприятий (заседаний, совещаний, семинаров, рабочих групп) в сфере профилактики </w:t>
            </w:r>
            <w:r>
              <w:rPr>
                <w:rFonts w:ascii="Times New Roman" w:hAnsi="Times New Roman"/>
                <w:sz w:val="28"/>
              </w:rPr>
              <w:t>проявлений экстремизма;</w:t>
            </w:r>
          </w:p>
          <w:p w14:paraId="90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разработанных, изготовленных, распространенных и размещенных наглядных и тематических материалов, атрибутики по профилактике проявлений экстремизма;</w:t>
            </w:r>
          </w:p>
          <w:p w14:paraId="91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color w:val="FF0000"/>
                <w:spacing w:val="-4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 xml:space="preserve">Количество подготовленной и размещенной информации по профилактике </w:t>
            </w:r>
            <w:r>
              <w:rPr>
                <w:rFonts w:ascii="Times New Roman" w:hAnsi="Times New Roman"/>
                <w:sz w:val="28"/>
              </w:rPr>
              <w:t>проявлений</w:t>
            </w:r>
            <w:r>
              <w:rPr>
                <w:rFonts w:ascii="Times New Roman" w:hAnsi="Times New Roman"/>
                <w:sz w:val="28"/>
              </w:rPr>
              <w:t xml:space="preserve"> экстремизма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через средства массовой информации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92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 xml:space="preserve">Мониторинг размещаемой информации в  средствах массовой информации, общественных организаций и объединений, в том числе в компьютерных сетях в целях недопущения призывов к </w:t>
            </w:r>
            <w:r>
              <w:rPr>
                <w:rFonts w:ascii="Times New Roman" w:hAnsi="Times New Roman"/>
                <w:spacing w:val="-4"/>
                <w:sz w:val="28"/>
              </w:rPr>
              <w:t>экстремистким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проявлениям;</w:t>
            </w:r>
          </w:p>
          <w:p w14:paraId="93010000">
            <w:pPr>
              <w:tabs>
                <w:tab w:leader="none" w:pos="6521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мероприятий  (лекций, массовых, культурных, спортивных и </w:t>
            </w:r>
            <w:r>
              <w:rPr>
                <w:rFonts w:ascii="Times New Roman" w:hAnsi="Times New Roman"/>
                <w:sz w:val="28"/>
              </w:rPr>
              <w:t>тд</w:t>
            </w:r>
            <w:r>
              <w:rPr>
                <w:rFonts w:ascii="Times New Roman" w:hAnsi="Times New Roman"/>
                <w:sz w:val="28"/>
              </w:rPr>
              <w:t>.) по вопросам профилактики терроризма, от общего количества запланированных</w:t>
            </w:r>
          </w:p>
        </w:tc>
      </w:tr>
    </w:tbl>
    <w:p w14:paraId="94010000">
      <w:pPr>
        <w:rPr>
          <w:rFonts w:ascii="Times New Roman" w:hAnsi="Times New Roman"/>
          <w:sz w:val="28"/>
        </w:rPr>
      </w:pPr>
    </w:p>
    <w:p w14:paraId="9501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Финансовое обеспечение муниципальной программы</w:t>
      </w:r>
    </w:p>
    <w:p w14:paraId="96010000">
      <w:pPr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7959"/>
        <w:gridCol w:w="1884"/>
        <w:gridCol w:w="1596"/>
        <w:gridCol w:w="1741"/>
        <w:gridCol w:w="2173"/>
      </w:tblGrid>
      <w:tr>
        <w:trPr>
          <w:trHeight w:hRule="atLeast" w:val="291"/>
        </w:trPr>
        <w:tc>
          <w:tcPr>
            <w:tcW w:type="dxa" w:w="79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 финансового обеспечения</w:t>
            </w:r>
          </w:p>
        </w:tc>
        <w:tc>
          <w:tcPr>
            <w:tcW w:type="dxa" w:w="739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Объём финансового обеспечения по годам реализации, тыс. рублей</w:t>
            </w:r>
          </w:p>
        </w:tc>
      </w:tr>
      <w:tr>
        <w:trPr>
          <w:trHeight w:hRule="atLeast" w:val="282"/>
        </w:trPr>
        <w:tc>
          <w:tcPr>
            <w:tcW w:type="dxa" w:w="79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  <w:tc>
          <w:tcPr>
            <w:tcW w:type="dxa" w:w="2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</w:tr>
      <w:tr>
        <w:trPr>
          <w:trHeight w:hRule="atLeast" w:val="258"/>
        </w:trPr>
        <w:tc>
          <w:tcPr>
            <w:tcW w:type="dxa" w:w="7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Бюджет </w:t>
            </w:r>
            <w:r>
              <w:rPr>
                <w:rFonts w:ascii="Times New Roman" w:hAnsi="Times New Roman"/>
                <w:sz w:val="28"/>
              </w:rPr>
              <w:t>Увел</w:t>
            </w:r>
            <w:r>
              <w:rPr>
                <w:rFonts w:ascii="Times New Roman" w:hAnsi="Times New Roman"/>
                <w:sz w:val="28"/>
              </w:rPr>
              <w:t xml:space="preserve">ьского муниципального округа 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</w:tr>
      <w:tr>
        <w:trPr>
          <w:trHeight w:hRule="atLeast" w:val="258"/>
        </w:trPr>
        <w:tc>
          <w:tcPr>
            <w:tcW w:type="dxa" w:w="7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Средства федерального бюджета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>
          <w:trHeight w:hRule="atLeast" w:val="258"/>
        </w:trPr>
        <w:tc>
          <w:tcPr>
            <w:tcW w:type="dxa" w:w="7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Средства областного бюджета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>
          <w:trHeight w:hRule="atLeast" w:val="258"/>
        </w:trPr>
        <w:tc>
          <w:tcPr>
            <w:tcW w:type="dxa" w:w="7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>
          <w:trHeight w:hRule="atLeast" w:val="258"/>
        </w:trPr>
        <w:tc>
          <w:tcPr>
            <w:tcW w:type="dxa" w:w="7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Налоговые расходы 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>
          <w:trHeight w:hRule="atLeast" w:val="258"/>
        </w:trPr>
        <w:tc>
          <w:tcPr>
            <w:tcW w:type="dxa" w:w="7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Всего 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</w:tr>
    </w:tbl>
    <w:p w14:paraId="BB010000">
      <w:pPr>
        <w:rPr>
          <w:rFonts w:ascii="Times New Roman" w:hAnsi="Times New Roman"/>
          <w:sz w:val="28"/>
        </w:rPr>
      </w:pPr>
    </w:p>
    <w:sectPr>
      <w:pgSz w:h="11906" w:orient="landscape" w:w="16838"/>
      <w:pgMar w:bottom="1134" w:footer="708" w:gutter="0" w:header="708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upperRoman"/>
      <w:lvlText w:val="%1."/>
      <w:lvlJc w:val="left"/>
      <w:pPr>
        <w:ind w:hanging="720" w:left="1431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hanging="360" w:left="1791"/>
      </w:pPr>
    </w:lvl>
    <w:lvl w:ilvl="2">
      <w:start w:val="1"/>
      <w:numFmt w:val="lowerRoman"/>
      <w:lvlText w:val="%3."/>
      <w:lvlJc w:val="right"/>
      <w:pPr>
        <w:ind w:hanging="180" w:left="2511"/>
      </w:pPr>
    </w:lvl>
    <w:lvl w:ilvl="3">
      <w:start w:val="1"/>
      <w:numFmt w:val="decimal"/>
      <w:lvlText w:val="%4."/>
      <w:lvlJc w:val="left"/>
      <w:pPr>
        <w:ind w:hanging="360" w:left="3231"/>
      </w:pPr>
    </w:lvl>
    <w:lvl w:ilvl="4">
      <w:start w:val="1"/>
      <w:numFmt w:val="lowerLetter"/>
      <w:lvlText w:val="%5."/>
      <w:lvlJc w:val="left"/>
      <w:pPr>
        <w:ind w:hanging="360" w:left="3951"/>
      </w:pPr>
    </w:lvl>
    <w:lvl w:ilvl="5">
      <w:start w:val="1"/>
      <w:numFmt w:val="lowerRoman"/>
      <w:lvlText w:val="%6."/>
      <w:lvlJc w:val="right"/>
      <w:pPr>
        <w:ind w:hanging="180" w:left="4671"/>
      </w:pPr>
    </w:lvl>
    <w:lvl w:ilvl="6">
      <w:start w:val="1"/>
      <w:numFmt w:val="decimal"/>
      <w:lvlText w:val="%7."/>
      <w:lvlJc w:val="left"/>
      <w:pPr>
        <w:ind w:hanging="360" w:left="5391"/>
      </w:pPr>
    </w:lvl>
    <w:lvl w:ilvl="7">
      <w:start w:val="1"/>
      <w:numFmt w:val="lowerLetter"/>
      <w:lvlText w:val="%8."/>
      <w:lvlJc w:val="left"/>
      <w:pPr>
        <w:ind w:hanging="360" w:left="6111"/>
      </w:pPr>
    </w:lvl>
    <w:lvl w:ilvl="8">
      <w:start w:val="1"/>
      <w:numFmt w:val="lowerRoman"/>
      <w:lvlText w:val="%9."/>
      <w:lvlJc w:val="right"/>
      <w:pPr>
        <w:ind w:hanging="180" w:left="6831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1150"/>
      </w:pPr>
      <w:rPr>
        <w:sz w:val="28"/>
      </w:rPr>
    </w:lvl>
    <w:lvl w:ilvl="1">
      <w:start w:val="1"/>
      <w:numFmt w:val="lowerLetter"/>
      <w:lvlText w:val="%2."/>
      <w:lvlJc w:val="left"/>
      <w:pPr>
        <w:ind w:hanging="360" w:left="1870"/>
      </w:pPr>
    </w:lvl>
    <w:lvl w:ilvl="2">
      <w:start w:val="1"/>
      <w:numFmt w:val="lowerRoman"/>
      <w:lvlText w:val="%3."/>
      <w:lvlJc w:val="right"/>
      <w:pPr>
        <w:ind w:hanging="180" w:left="2590"/>
      </w:pPr>
    </w:lvl>
    <w:lvl w:ilvl="3">
      <w:start w:val="1"/>
      <w:numFmt w:val="decimal"/>
      <w:lvlText w:val="%4."/>
      <w:lvlJc w:val="left"/>
      <w:pPr>
        <w:ind w:hanging="360" w:left="3310"/>
      </w:pPr>
    </w:lvl>
    <w:lvl w:ilvl="4">
      <w:start w:val="1"/>
      <w:numFmt w:val="lowerLetter"/>
      <w:lvlText w:val="%5."/>
      <w:lvlJc w:val="left"/>
      <w:pPr>
        <w:ind w:hanging="360" w:left="4030"/>
      </w:pPr>
    </w:lvl>
    <w:lvl w:ilvl="5">
      <w:start w:val="1"/>
      <w:numFmt w:val="lowerRoman"/>
      <w:lvlText w:val="%6."/>
      <w:lvlJc w:val="right"/>
      <w:pPr>
        <w:ind w:hanging="180" w:left="4750"/>
      </w:pPr>
    </w:lvl>
    <w:lvl w:ilvl="6">
      <w:start w:val="1"/>
      <w:numFmt w:val="decimal"/>
      <w:lvlText w:val="%7."/>
      <w:lvlJc w:val="left"/>
      <w:pPr>
        <w:ind w:hanging="360" w:left="5470"/>
      </w:pPr>
    </w:lvl>
    <w:lvl w:ilvl="7">
      <w:start w:val="1"/>
      <w:numFmt w:val="lowerLetter"/>
      <w:lvlText w:val="%8."/>
      <w:lvlJc w:val="left"/>
      <w:pPr>
        <w:ind w:hanging="360" w:left="6190"/>
      </w:pPr>
    </w:lvl>
    <w:lvl w:ilvl="8">
      <w:start w:val="1"/>
      <w:numFmt w:val="lowerRoman"/>
      <w:lvlText w:val="%9."/>
      <w:lvlJc w:val="right"/>
      <w:pPr>
        <w:ind w:hanging="180" w:left="691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2696"/>
      </w:pPr>
    </w:lvl>
    <w:lvl w:ilvl="1">
      <w:start w:val="1"/>
      <w:numFmt w:val="lowerLetter"/>
      <w:lvlText w:val="%2."/>
      <w:lvlJc w:val="left"/>
      <w:pPr>
        <w:ind w:hanging="360" w:left="3416"/>
      </w:pPr>
    </w:lvl>
    <w:lvl w:ilvl="2">
      <w:start w:val="1"/>
      <w:numFmt w:val="lowerRoman"/>
      <w:lvlText w:val="%3."/>
      <w:lvlJc w:val="right"/>
      <w:pPr>
        <w:ind w:hanging="180" w:left="4136"/>
      </w:pPr>
    </w:lvl>
    <w:lvl w:ilvl="3">
      <w:start w:val="1"/>
      <w:numFmt w:val="decimal"/>
      <w:lvlText w:val="%4."/>
      <w:lvlJc w:val="left"/>
      <w:pPr>
        <w:ind w:hanging="360" w:left="4856"/>
      </w:pPr>
    </w:lvl>
    <w:lvl w:ilvl="4">
      <w:start w:val="1"/>
      <w:numFmt w:val="lowerLetter"/>
      <w:lvlText w:val="%5."/>
      <w:lvlJc w:val="left"/>
      <w:pPr>
        <w:ind w:hanging="360" w:left="5576"/>
      </w:pPr>
    </w:lvl>
    <w:lvl w:ilvl="5">
      <w:start w:val="1"/>
      <w:numFmt w:val="lowerRoman"/>
      <w:lvlText w:val="%6."/>
      <w:lvlJc w:val="right"/>
      <w:pPr>
        <w:ind w:hanging="180" w:left="6296"/>
      </w:pPr>
    </w:lvl>
    <w:lvl w:ilvl="6">
      <w:start w:val="1"/>
      <w:numFmt w:val="decimal"/>
      <w:lvlText w:val="%7."/>
      <w:lvlJc w:val="left"/>
      <w:pPr>
        <w:ind w:hanging="360" w:left="7016"/>
      </w:pPr>
    </w:lvl>
    <w:lvl w:ilvl="7">
      <w:start w:val="1"/>
      <w:numFmt w:val="lowerLetter"/>
      <w:lvlText w:val="%8."/>
      <w:lvlJc w:val="left"/>
      <w:pPr>
        <w:ind w:hanging="360" w:left="7736"/>
      </w:pPr>
    </w:lvl>
    <w:lvl w:ilvl="8">
      <w:start w:val="1"/>
      <w:numFmt w:val="lowerRoman"/>
      <w:lvlText w:val="%9."/>
      <w:lvlJc w:val="right"/>
      <w:pPr>
        <w:ind w:hanging="180" w:left="8456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widowControl w:val="0"/>
      <w:spacing w:after="0" w:line="240" w:lineRule="auto"/>
      <w:ind/>
    </w:pPr>
    <w:rPr>
      <w:rFonts w:ascii="Courier New" w:hAnsi="Courier New"/>
      <w:color w:val="000000"/>
      <w:sz w:val="24"/>
    </w:rPr>
  </w:style>
  <w:style w:default="1" w:styleId="Style_9_ch" w:type="character">
    <w:name w:val="Normal"/>
    <w:link w:val="Style_9"/>
    <w:rPr>
      <w:rFonts w:ascii="Courier New" w:hAnsi="Courier New"/>
      <w:color w:val="000000"/>
      <w:sz w:val="24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4" w:type="paragraph">
    <w:name w:val="Body Text Indent 2"/>
    <w:basedOn w:val="Style_9"/>
    <w:link w:val="Style_4_ch"/>
    <w:pPr>
      <w:spacing w:after="120" w:line="480" w:lineRule="auto"/>
      <w:ind w:left="283"/>
    </w:pPr>
  </w:style>
  <w:style w:styleId="Style_4_ch" w:type="character">
    <w:name w:val="Body Text Indent 2"/>
    <w:basedOn w:val="Style_9_ch"/>
    <w:link w:val="Style_4"/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6" w:type="paragraph">
    <w:name w:val="Основной текст4"/>
    <w:basedOn w:val="Style_9"/>
    <w:link w:val="Style_6_ch"/>
    <w:pPr>
      <w:spacing w:after="3120" w:line="278" w:lineRule="exact"/>
      <w:ind w:hanging="1880"/>
    </w:pPr>
    <w:rPr>
      <w:rFonts w:ascii="Times New Roman" w:hAnsi="Times New Roman"/>
      <w:color w:val="000000"/>
      <w:spacing w:val="3"/>
      <w:sz w:val="22"/>
    </w:rPr>
  </w:style>
  <w:style w:styleId="Style_6_ch" w:type="character">
    <w:name w:val="Основной текст4"/>
    <w:basedOn w:val="Style_9_ch"/>
    <w:link w:val="Style_6"/>
    <w:rPr>
      <w:rFonts w:ascii="Times New Roman" w:hAnsi="Times New Roman"/>
      <w:color w:val="000000"/>
      <w:spacing w:val="3"/>
      <w:sz w:val="22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9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5" w:type="paragraph">
    <w:name w:val="Основной текст1"/>
    <w:basedOn w:val="Style_6"/>
    <w:link w:val="Style_5_ch"/>
    <w:rPr>
      <w:color w:val="000000"/>
      <w:sz w:val="24"/>
    </w:rPr>
  </w:style>
  <w:style w:styleId="Style_5_ch" w:type="character">
    <w:name w:val="Основной текст1"/>
    <w:basedOn w:val="Style_6_ch"/>
    <w:link w:val="Style_5"/>
    <w:rPr>
      <w:color w:val="000000"/>
      <w:sz w:val="24"/>
    </w:rPr>
  </w:style>
  <w:style w:styleId="Style_16" w:type="paragraph">
    <w:name w:val="toc 3"/>
    <w:next w:val="Style_9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5"/>
    <w:next w:val="Style_9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9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7" w:type="paragraph">
    <w:name w:val="Hyperlink"/>
    <w:basedOn w:val="Style_17"/>
    <w:link w:val="Style_7_ch"/>
    <w:rPr>
      <w:color w:themeColor="hyperlink" w:val="0000FF"/>
      <w:u w:val="single"/>
    </w:rPr>
  </w:style>
  <w:style w:styleId="Style_7_ch" w:type="character">
    <w:name w:val="Hyperlink"/>
    <w:basedOn w:val="Style_17_ch"/>
    <w:link w:val="Style_7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9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9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9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9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" w:type="paragraph">
    <w:name w:val="Body Text"/>
    <w:basedOn w:val="Style_9"/>
    <w:link w:val="Style_2_ch"/>
    <w:rPr>
      <w:rFonts w:ascii="Times New Roman" w:hAnsi="Times New Roman"/>
      <w:color w:val="000000"/>
      <w:sz w:val="28"/>
    </w:rPr>
  </w:style>
  <w:style w:styleId="Style_2_ch" w:type="character">
    <w:name w:val="Body Text"/>
    <w:basedOn w:val="Style_9_ch"/>
    <w:link w:val="Style_2"/>
    <w:rPr>
      <w:rFonts w:ascii="Times New Roman" w:hAnsi="Times New Roman"/>
      <w:color w:val="000000"/>
      <w:sz w:val="28"/>
    </w:rPr>
  </w:style>
  <w:style w:styleId="Style_26" w:type="paragraph">
    <w:name w:val="Subtitle"/>
    <w:next w:val="Style_9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9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9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9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1" w:type="paragraph">
    <w:name w:val="List Paragraph"/>
    <w:basedOn w:val="Style_9"/>
    <w:link w:val="Style_1_ch"/>
    <w:pPr>
      <w:ind w:left="720"/>
      <w:contextualSpacing w:val="1"/>
    </w:pPr>
  </w:style>
  <w:style w:styleId="Style_1_ch" w:type="character">
    <w:name w:val="List Paragraph"/>
    <w:basedOn w:val="Style_9_ch"/>
    <w:link w:val="Style_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" w:type="table">
    <w:name w:val="Table Grid"/>
    <w:basedOn w:val="Style_3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2026-07-03T11:28:15Z</dcterms:modified>
</cp:coreProperties>
</file>