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AD" w:rsidRDefault="000E19AD" w:rsidP="000E1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E19AD" w:rsidRDefault="000E19AD" w:rsidP="000E1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24.04.2018 года № 385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 определению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нормативных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  на 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 основных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дошкольных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Управлению 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Карталинского </w:t>
      </w: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</w:t>
      </w: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 Российс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Федерации                   от 29 декабря 2012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«Об образовании в Российской Федерации», Федеральным законом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9867EA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</w:smartTag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приказом  Министерства образования и науки Российской Федерации от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№ 1040 «Об утверждении общих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к определению нормативных затрат на оказание государственных (муниципальных) услуг в сфере образования, науки и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(муниципальным) учреждением», п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Карталинского муниципального района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№ 713 « 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района»,  </w:t>
      </w:r>
    </w:p>
    <w:p w:rsidR="000E19AD" w:rsidRPr="009867EA" w:rsidRDefault="000E19AD" w:rsidP="000E19AD">
      <w:pPr>
        <w:spacing w:after="0" w:line="240" w:lineRule="auto"/>
        <w:ind w:left="4111" w:hanging="411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0E19AD" w:rsidRDefault="000E19AD" w:rsidP="000E1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по определению нормативных затрат на оказание муниципальных услуг по реализации основных общеобразовательных программ дошкольного образования в муниципальных дошкольных образовательных учреждениях, подведомственных Управлению образования Карталинского муниципального района.</w:t>
      </w:r>
    </w:p>
    <w:p w:rsidR="000E19AD" w:rsidRDefault="000E19AD" w:rsidP="000E19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   Карталинского муниципального района.</w:t>
      </w:r>
    </w:p>
    <w:p w:rsidR="000E19AD" w:rsidRPr="009867EA" w:rsidRDefault="000E19AD" w:rsidP="000E19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заместителя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0E19AD" w:rsidRDefault="000E19AD" w:rsidP="000E19AD">
      <w:pPr>
        <w:spacing w:after="0" w:line="240" w:lineRule="auto"/>
        <w:ind w:left="567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момента подписания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9AD" w:rsidRDefault="000E19AD" w:rsidP="000E19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</w:p>
    <w:p w:rsidR="000E19AD" w:rsidRPr="009867EA" w:rsidRDefault="000E19AD" w:rsidP="000E1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DC163C" w:rsidRDefault="000E19AD" w:rsidP="000E1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DC163C" w:rsidRDefault="000E19AD" w:rsidP="000E1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0E19AD" w:rsidRPr="009867EA" w:rsidRDefault="000E19AD" w:rsidP="000E19A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</w:p>
    <w:p w:rsidR="000E19AD" w:rsidRPr="009867EA" w:rsidRDefault="000E19AD" w:rsidP="000E19A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0E19AD" w:rsidRPr="009867EA" w:rsidRDefault="000E19AD" w:rsidP="000E19A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24.04.2018 года № 385</w:t>
      </w: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 определению нормативных затрат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муниципальных услуг  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дошкольного образования 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дошкольных 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Управлению образования </w:t>
      </w:r>
    </w:p>
    <w:p w:rsidR="000E19AD" w:rsidRPr="009867EA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tabs>
          <w:tab w:val="left" w:pos="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0E19AD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определению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затрат на оказание муниципальных услуг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основных общеобразовательных программ дошкольного образования в муниципальных дошкольных образовательных учреждениях, подведомственных Управлению образования 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Порядок) разработан в целях определения нормативных затрат на оказание муниципальной услуги «Реализация основных общеобразовательных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 дошкольного образования в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дошкольных образовательных учреждениях»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– муниципальная услуга).</w:t>
      </w:r>
      <w:proofErr w:type="gramEnd"/>
    </w:p>
    <w:p w:rsidR="000E19AD" w:rsidRPr="009867EA" w:rsidRDefault="000E19AD" w:rsidP="000E19AD">
      <w:pPr>
        <w:tabs>
          <w:tab w:val="left" w:pos="0"/>
          <w:tab w:val="left" w:pos="142"/>
          <w:tab w:val="left" w:pos="1418"/>
        </w:tabs>
        <w:spacing w:after="0" w:line="240" w:lineRule="auto"/>
        <w:ind w:left="50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разработан в соответствии с приказом Министерства образования и науки Российской Федерации от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.09.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713 « Об утверждении Порядка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и финансового обеспечения выполнения муниципального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отношении муниципальных учреждений Карталинского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II. Порядок определения нормативных затрат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муниципальной услуги</w:t>
      </w:r>
    </w:p>
    <w:p w:rsidR="000E19AD" w:rsidRDefault="000E19AD" w:rsidP="000E19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Нормативные затраты на оказание муниципальной услуги определяются: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содержащейся в Ведомственном перечне муниципальных услуг (работ), оказываемых (выполняемых) муниципальными учреждениями Карталинского муниципального района, подведомственными Управлению образования Карталинского муниципального района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–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Ведомственный перечень), информации  о единице показателя, характеризующего объем муниципальной услуги, и показателей отражающих содержание и (или) условия оказания муниципальной услуги;</w:t>
      </w:r>
      <w:proofErr w:type="gramEnd"/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услуги, определяемых в соответствии с общими требованиями к определению нормативных затрат на оказание государственных (муниципальных) услуг, принятых Федеральными органами исполнительной власти, исполнительными органами субъекта Российской Федерации, органами местного самоуправления, с соблюдением настоящего Порядка.</w:t>
      </w:r>
      <w:proofErr w:type="gramEnd"/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 и базового норматива затрат на общехозяйственные нужды на оказание муниципальной услуги.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базовый норматив затрат, непосредственно связанных с </w:t>
      </w:r>
      <w:bookmarkStart w:id="0" w:name="_GoBack"/>
      <w:bookmarkEnd w:id="0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оказанием муниципальной услуги включаются:</w:t>
      </w:r>
    </w:p>
    <w:p w:rsidR="000E19AD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и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нормативными правовыми актами, содержащими нормы трудового права;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приобретение материальных запасов и особо ценного движимого имущества, потребляемого (используем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ого) в процессе оказания услуги;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муниципальной услуги;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повышение квалификации педагогических и других работников, принимающих непосредственное участие в оказании муниципальной услуги, за исключением затрат на приобретение транспортных услуг;</w:t>
      </w:r>
    </w:p>
    <w:p w:rsidR="000E19AD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прохождение педагогическими и другими работниками, принимающими непосредственное  участие в оказании муниципальной услуги, медицинских осмотров.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базовый норматив на общехозяйственные нужды на оказание муниципальной услуги включаются: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коммунальные услуги;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объектов недвижимого имущества (в том числе затраты на арендные платежи);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содержание объектов особо ценного движимого имущества;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услуг связи;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транспортных услуг, в том числе расходы на проезд до места повышения квалификации и обратно;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 – управленческого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и вспомогательного персонала), включая страховые взносы в пенсионный фонд Российской Федерации, Фонд социального страхования Российской Федерации, Фонд обязательного медицинского страхования Российской Федерации, а также на обязательное социальное  страхование от несчастных случаев на производстве и профессиональных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с трудовым законодательством и иными нормативными правовыми актами, содержащими нормы трудового права;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затраты на повышение квалификации работников, не принимающих непосредственное участие в оказании муниципальной услуги;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приобретение материальных запасов общехозяйственного назначения.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Корректирующие коэффициенты к базовому нормативу на оказание муниципальной услуги, применяемые при расчете нормативных затрат на оказание муниципальной услуги состоят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отраслевого корректирующего коэффициента к базовому нормативу затрат, отражающего отраслевую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специфику муниципальной услуги;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корректирующего коэффициента, включающего территориальный корректирующий коэффициент по оплате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территориальный корректирующий коэффициент на коммунальные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содержание недвижимого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базового норматива затрат на оказание муниципальной услуги осуществляется с учетом норм материальных, технических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трудовых ресурсов, используемых для оказания муниципальной услуги, установленных нормативными правовыми актами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органов государственной власти и местного самоуправления,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а также межгосударственных и государственных стандартов Российской Федерации, строительных норм и правил, санитарных норм и правил, стандартов, порядков и регламентов оказания муниципальной услуги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– стандарт услуги).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При утверждении значения базового норматива затрат на оказание муниципальной услуги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услуги.</w:t>
      </w:r>
      <w:proofErr w:type="gramEnd"/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потребителей муниципальной услуги – физические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в Учреждениях.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     Определение нормативных затрат на оказание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по реализации основных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программ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proofErr w:type="gramEnd"/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подведомственных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Управлению образования Карталинского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E19AD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2A6C9E" w:rsidRDefault="000E19AD" w:rsidP="000E19A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AD" w:rsidRPr="009867EA" w:rsidRDefault="000E19AD" w:rsidP="000E19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услуги по реализации муниципальной услуги по реализации основных общеобразовательных программ дошкольного образования в муниципальных дошкольных образовательных учреждениях, определяется с учетом базовых нормативов затрат, отраслевых и территориальных корректирующих коэффициентов. Таким образом, нормативные затраты на оказание муниципальной услуги рассчитываются по формуле:</w:t>
      </w:r>
    </w:p>
    <w:p w:rsidR="000E19AD" w:rsidRPr="009867EA" w:rsidRDefault="000E19AD" w:rsidP="000E19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val="en-US" w:eastAsia="ru-RU"/>
        </w:rPr>
        <w:t>N</w:t>
      </w:r>
      <w:proofErr w:type="spellStart"/>
      <w:r w:rsidRPr="009867EA">
        <w:rPr>
          <w:rFonts w:ascii="Times New Roman" w:eastAsia="Times New Roman" w:hAnsi="Times New Roman"/>
          <w:bCs/>
          <w:color w:val="000000"/>
          <w:kern w:val="24"/>
          <w:position w:val="-18"/>
          <w:sz w:val="32"/>
          <w:szCs w:val="32"/>
          <w:vertAlign w:val="subscript"/>
          <w:lang w:val="en-US" w:eastAsia="ru-RU"/>
        </w:rPr>
        <w:t>i</w:t>
      </w:r>
      <w:proofErr w:type="spellEnd"/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= </w:t>
      </w:r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val="en-US" w:eastAsia="ru-RU"/>
        </w:rPr>
        <w:t>N</w:t>
      </w:r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vertAlign w:val="subscript"/>
          <w:lang w:eastAsia="ru-RU"/>
        </w:rPr>
        <w:t>баз</w:t>
      </w:r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× </w:t>
      </w:r>
      <w:proofErr w:type="gramStart"/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val="en-US" w:eastAsia="ru-RU"/>
        </w:rPr>
        <w:t>k</w:t>
      </w:r>
      <w:proofErr w:type="spellStart"/>
      <w:r w:rsidRPr="009867EA">
        <w:rPr>
          <w:rFonts w:ascii="Times New Roman" w:eastAsia="Times New Roman" w:hAnsi="Times New Roman"/>
          <w:bCs/>
          <w:color w:val="000000"/>
          <w:kern w:val="24"/>
          <w:position w:val="-18"/>
          <w:sz w:val="32"/>
          <w:szCs w:val="32"/>
          <w:vertAlign w:val="subscript"/>
          <w:lang w:val="en-US" w:eastAsia="ru-RU"/>
        </w:rPr>
        <w:t>i</w:t>
      </w:r>
      <w:proofErr w:type="spellEnd"/>
      <w:r w:rsidRPr="009867EA">
        <w:rPr>
          <w:rFonts w:ascii="Times New Roman" w:eastAsia="Times New Roman" w:hAnsi="Times New Roman"/>
          <w:bCs/>
          <w:color w:val="000000"/>
          <w:kern w:val="24"/>
          <w:position w:val="-18"/>
          <w:sz w:val="32"/>
          <w:szCs w:val="32"/>
          <w:vertAlign w:val="subscript"/>
          <w:lang w:eastAsia="ru-RU"/>
        </w:rPr>
        <w:t xml:space="preserve"> </w:t>
      </w:r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,</w:t>
      </w:r>
      <w:proofErr w:type="gramEnd"/>
      <w:r w:rsidRPr="009867EA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где</w:t>
      </w:r>
    </w:p>
    <w:p w:rsidR="000E19AD" w:rsidRPr="009867EA" w:rsidRDefault="000E19AD" w:rsidP="000E19A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val="en-US" w:eastAsia="ru-RU"/>
        </w:rPr>
        <w:t>N</w:t>
      </w:r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bscript"/>
          <w:lang w:eastAsia="ru-RU"/>
        </w:rPr>
        <w:t>баз</w:t>
      </w:r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– базовый норматив затрат на оказание </w:t>
      </w:r>
      <w:proofErr w:type="spellStart"/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val="en-US" w:eastAsia="ru-RU"/>
        </w:rPr>
        <w:t>i</w:t>
      </w:r>
      <w:proofErr w:type="spellEnd"/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– той единицы </w:t>
      </w:r>
      <w:proofErr w:type="gramStart"/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муниципальной  услуги</w:t>
      </w:r>
      <w:proofErr w:type="gramEnd"/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</w:t>
      </w:r>
    </w:p>
    <w:p w:rsidR="000E19AD" w:rsidRPr="009867EA" w:rsidRDefault="000E19AD" w:rsidP="000E19A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val="en-US" w:eastAsia="ru-RU"/>
        </w:rPr>
        <w:t>k</w:t>
      </w:r>
      <w:proofErr w:type="spellStart"/>
      <w:r w:rsidRPr="009867EA">
        <w:rPr>
          <w:rFonts w:ascii="Times New Roman" w:eastAsia="Times New Roman" w:hAnsi="Times New Roman"/>
          <w:color w:val="000000"/>
          <w:kern w:val="24"/>
          <w:position w:val="-6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9867E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– корректирующие коэффициенты к базовым нормативам затрат (отраслевые и территориальные).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Базовый норматив на оказание муниципальной услуги рассчитывается по формуле: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9867E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баз</w:t>
      </w:r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9867E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9867E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непоср</w:t>
      </w:r>
      <w:proofErr w:type="spell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9867E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9867E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обхоз</w:t>
      </w:r>
      <w:proofErr w:type="spell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0E19AD" w:rsidRPr="009867EA" w:rsidRDefault="000E19AD" w:rsidP="000E19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7E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непоср</w:t>
      </w:r>
      <w:proofErr w:type="spell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базовый норматив затрат, непосредственно связанных с оказанием </w:t>
      </w:r>
      <w:proofErr w:type="gram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муниципальной  услуги</w:t>
      </w:r>
      <w:proofErr w:type="gram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9AD" w:rsidRDefault="000E19AD" w:rsidP="000E19AD">
      <w:pPr>
        <w:autoSpaceDE w:val="0"/>
        <w:autoSpaceDN w:val="0"/>
        <w:adjustRightInd w:val="0"/>
        <w:spacing w:after="0" w:line="240" w:lineRule="auto"/>
        <w:ind w:firstLine="540"/>
      </w:pPr>
      <w:proofErr w:type="gramStart"/>
      <w:r w:rsidRPr="009867E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N</w:t>
      </w:r>
      <w:proofErr w:type="spellStart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>общехоз</w:t>
      </w:r>
      <w:proofErr w:type="spellEnd"/>
      <w:r w:rsidRPr="009867EA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базовый норматив затрат на общехозяйственные нужды на оказание муниципальной услуги.</w:t>
      </w:r>
      <w:proofErr w:type="gramEnd"/>
    </w:p>
    <w:p w:rsidR="003F62CB" w:rsidRDefault="003F62CB"/>
    <w:sectPr w:rsidR="003F62CB" w:rsidSect="000E19AD">
      <w:headerReference w:type="default" r:id="rId7"/>
      <w:pgSz w:w="11906" w:h="16838"/>
      <w:pgMar w:top="1134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AD" w:rsidRDefault="000E19AD" w:rsidP="000E19AD">
      <w:pPr>
        <w:spacing w:after="0" w:line="240" w:lineRule="auto"/>
      </w:pPr>
      <w:r>
        <w:separator/>
      </w:r>
    </w:p>
  </w:endnote>
  <w:endnote w:type="continuationSeparator" w:id="0">
    <w:p w:rsidR="000E19AD" w:rsidRDefault="000E19AD" w:rsidP="000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AD" w:rsidRDefault="000E19AD" w:rsidP="000E19AD">
      <w:pPr>
        <w:spacing w:after="0" w:line="240" w:lineRule="auto"/>
      </w:pPr>
      <w:r>
        <w:separator/>
      </w:r>
    </w:p>
  </w:footnote>
  <w:footnote w:type="continuationSeparator" w:id="0">
    <w:p w:rsidR="000E19AD" w:rsidRDefault="000E19AD" w:rsidP="000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9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7144" w:rsidRPr="00727144" w:rsidRDefault="000E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27144">
          <w:rPr>
            <w:rFonts w:ascii="Times New Roman" w:hAnsi="Times New Roman"/>
            <w:sz w:val="28"/>
            <w:szCs w:val="28"/>
          </w:rPr>
          <w:fldChar w:fldCharType="begin"/>
        </w:r>
        <w:r w:rsidRPr="0072714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2714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7271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7144" w:rsidRDefault="000E19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B85"/>
    <w:multiLevelType w:val="hybridMultilevel"/>
    <w:tmpl w:val="3084C1A6"/>
    <w:lvl w:ilvl="0" w:tplc="58D8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AD"/>
    <w:rsid w:val="000202C1"/>
    <w:rsid w:val="00033F22"/>
    <w:rsid w:val="00036D90"/>
    <w:rsid w:val="000673D1"/>
    <w:rsid w:val="000E19AD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156D3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9A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E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9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9455</Characters>
  <Application>Microsoft Office Word</Application>
  <DocSecurity>0</DocSecurity>
  <Lines>78</Lines>
  <Paragraphs>22</Paragraphs>
  <ScaleCrop>false</ScaleCrop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2018-04-25T11:44:00Z</dcterms:created>
  <dcterms:modified xsi:type="dcterms:W3CDTF">2018-04-25T11:46:00Z</dcterms:modified>
</cp:coreProperties>
</file>