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71" w:rsidRPr="00685271" w:rsidRDefault="00685271" w:rsidP="0068527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85271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685271" w:rsidRPr="00685271" w:rsidRDefault="00685271" w:rsidP="0068527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85271">
        <w:rPr>
          <w:rFonts w:ascii="Times New Roman" w:hAnsi="Times New Roman"/>
          <w:sz w:val="28"/>
          <w:szCs w:val="28"/>
          <w:lang w:val="ru-RU"/>
        </w:rPr>
        <w:t>АДМИНИСТРАЦИИ КАРТАЛИНСКОГО МУНИЦИПАЛЬНОГО РАЙОНА</w:t>
      </w:r>
    </w:p>
    <w:p w:rsidR="00685271" w:rsidRPr="00685271" w:rsidRDefault="00685271" w:rsidP="006852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271" w:rsidRPr="00685271" w:rsidRDefault="00685271" w:rsidP="006852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271" w:rsidRPr="00685271" w:rsidRDefault="00685271" w:rsidP="006852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271" w:rsidRPr="00685271" w:rsidRDefault="00685271" w:rsidP="006852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271" w:rsidRPr="00685271" w:rsidRDefault="00685271" w:rsidP="006852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271" w:rsidRPr="00685271" w:rsidRDefault="00685271" w:rsidP="006852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271" w:rsidRPr="00685271" w:rsidRDefault="00685271" w:rsidP="0068527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685271" w:rsidP="006852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</w:t>
      </w:r>
      <w:r w:rsidRPr="00685271">
        <w:rPr>
          <w:rFonts w:ascii="Times New Roman" w:hAnsi="Times New Roman"/>
          <w:sz w:val="28"/>
          <w:szCs w:val="28"/>
          <w:lang w:val="ru-RU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685271">
        <w:rPr>
          <w:rFonts w:ascii="Times New Roman" w:hAnsi="Times New Roman"/>
          <w:sz w:val="28"/>
          <w:szCs w:val="28"/>
          <w:lang w:val="ru-RU"/>
        </w:rPr>
        <w:t xml:space="preserve">.2014 года № </w:t>
      </w:r>
      <w:r>
        <w:rPr>
          <w:rFonts w:ascii="Times New Roman" w:hAnsi="Times New Roman"/>
          <w:sz w:val="28"/>
          <w:szCs w:val="28"/>
          <w:lang w:val="ru-RU"/>
        </w:rPr>
        <w:t>1639</w:t>
      </w: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муниципальной </w:t>
      </w: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программы «Развитие физической </w:t>
      </w: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культуры и спорта в Карталинском </w:t>
      </w: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муниципальном районе </w:t>
      </w:r>
    </w:p>
    <w:p w:rsidR="000F7403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2015-2017 годы»</w:t>
      </w: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FA6D3B" w:rsidP="000316E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Карталинского муниципального района ПОСТАНОВЛЯЕТ:</w:t>
      </w:r>
    </w:p>
    <w:p w:rsidR="00FA6D3B" w:rsidRDefault="00FA6D3B" w:rsidP="00FA6D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</w:t>
      </w:r>
      <w:r w:rsidR="00413904">
        <w:rPr>
          <w:rFonts w:ascii="Times New Roman" w:hAnsi="Times New Roman"/>
          <w:sz w:val="28"/>
          <w:szCs w:val="28"/>
          <w:lang w:val="ru-RU"/>
        </w:rPr>
        <w:t xml:space="preserve"> прилагаемую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муниципальную программу «Развитие физической культуры и спорта в Карталинском муниципальном районе на 2015-2017 годы»</w:t>
      </w:r>
      <w:r w:rsidR="00413904">
        <w:rPr>
          <w:rFonts w:ascii="Times New Roman" w:hAnsi="Times New Roman"/>
          <w:sz w:val="28"/>
          <w:szCs w:val="28"/>
          <w:lang w:val="ru-RU"/>
        </w:rPr>
        <w:t>.</w:t>
      </w:r>
    </w:p>
    <w:p w:rsidR="00FA6D3B" w:rsidRDefault="00FA6D3B" w:rsidP="00FA6D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Постановление администрации Карталинского муниципального района от 14.10.2014 года № 1307 «Об утверждении муниципальной программы «Развитие физической культуры и спорта в Карталинском муниципальном районе на 2015-2017 годы» считать утратившим силу.</w:t>
      </w:r>
    </w:p>
    <w:p w:rsidR="00FA6D3B" w:rsidRDefault="00FA6D3B" w:rsidP="00FA6D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Разместить настоящее постановление на официальном сайте администрации Карталинского муниципального района.</w:t>
      </w:r>
    </w:p>
    <w:p w:rsidR="00FA6D3B" w:rsidRDefault="00FA6D3B" w:rsidP="00FA6D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Организацию исполнения данного постановления возложить на начальника Управления по делам культуры, спорта и молодежной политики Михайлову Т.С.</w:t>
      </w:r>
    </w:p>
    <w:p w:rsidR="00FA6D3B" w:rsidRDefault="00FA6D3B" w:rsidP="00FA6D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Контроль за выполнением настоящего постановления возложить на заместителя главы Карталинского муниципального района Клюшину Г.А.</w:t>
      </w:r>
    </w:p>
    <w:p w:rsidR="00FA6D3B" w:rsidRDefault="00FA6D3B" w:rsidP="00FA6D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Настоящее постановление вступает в силу с 1 января 2015 года.</w:t>
      </w:r>
    </w:p>
    <w:p w:rsidR="00FA6D3B" w:rsidRDefault="00FA6D3B" w:rsidP="00FA6D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FA6D3B" w:rsidP="00FA6D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Default="00FA6D3B" w:rsidP="00FA6D3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Глава Карталинского </w:t>
      </w: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района                                          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ab/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ab/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ab/>
        <w:t xml:space="preserve">С.Н. Шулаев </w:t>
      </w:r>
    </w:p>
    <w:p w:rsidR="00FA6D3B" w:rsidRPr="00FA6D3B" w:rsidRDefault="00FA6D3B" w:rsidP="00FA6D3B">
      <w:pPr>
        <w:ind w:left="4395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УТВЕРЖДЕНА</w:t>
      </w:r>
    </w:p>
    <w:p w:rsidR="00FA6D3B" w:rsidRPr="00FA6D3B" w:rsidRDefault="00FA6D3B" w:rsidP="00FA6D3B">
      <w:pPr>
        <w:ind w:left="4395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bCs/>
          <w:sz w:val="28"/>
          <w:szCs w:val="28"/>
          <w:lang w:val="ru-RU" w:eastAsia="ru-RU"/>
        </w:rPr>
        <w:t>остановлением администрации</w:t>
      </w:r>
    </w:p>
    <w:p w:rsidR="00FA6D3B" w:rsidRPr="00FA6D3B" w:rsidRDefault="00FA6D3B" w:rsidP="00FA6D3B">
      <w:pPr>
        <w:ind w:left="4395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bCs/>
          <w:sz w:val="28"/>
          <w:szCs w:val="28"/>
          <w:lang w:val="ru-RU" w:eastAsia="ru-RU"/>
        </w:rPr>
        <w:t>Карталинского муниципального района</w:t>
      </w:r>
    </w:p>
    <w:p w:rsidR="00FA6D3B" w:rsidRDefault="00FA6D3B" w:rsidP="00FA6D3B">
      <w:pPr>
        <w:ind w:left="4395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FA6D3B">
        <w:rPr>
          <w:rFonts w:ascii="Times New Roman" w:hAnsi="Times New Roman"/>
          <w:bCs/>
          <w:sz w:val="28"/>
          <w:szCs w:val="28"/>
          <w:lang w:val="ru-RU" w:eastAsia="ru-RU"/>
        </w:rPr>
        <w:t xml:space="preserve">т </w:t>
      </w:r>
      <w:r w:rsidR="00932391">
        <w:rPr>
          <w:rFonts w:ascii="Times New Roman" w:hAnsi="Times New Roman"/>
          <w:bCs/>
          <w:sz w:val="28"/>
          <w:szCs w:val="28"/>
          <w:lang w:val="ru-RU" w:eastAsia="ru-RU"/>
        </w:rPr>
        <w:t>17.12.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2014 года № </w:t>
      </w:r>
      <w:r w:rsidR="00932391">
        <w:rPr>
          <w:rFonts w:ascii="Times New Roman" w:hAnsi="Times New Roman"/>
          <w:bCs/>
          <w:sz w:val="28"/>
          <w:szCs w:val="28"/>
          <w:lang w:val="ru-RU" w:eastAsia="ru-RU"/>
        </w:rPr>
        <w:t>1639</w:t>
      </w:r>
    </w:p>
    <w:p w:rsidR="00FA6D3B" w:rsidRDefault="00FA6D3B" w:rsidP="00FA6D3B">
      <w:pPr>
        <w:ind w:left="4395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B37BA7" w:rsidRDefault="00B37BA7" w:rsidP="00B37BA7">
      <w:pPr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Муниципальная программа</w:t>
      </w:r>
    </w:p>
    <w:p w:rsidR="00B37BA7" w:rsidRDefault="00B37BA7" w:rsidP="00B37BA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Развитие физической культуры и спорта </w:t>
      </w:r>
    </w:p>
    <w:p w:rsidR="00B37BA7" w:rsidRDefault="00B37BA7" w:rsidP="00B37BA7">
      <w:pPr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в Карталинском муниципальном районе на 2015-2017 годы»</w:t>
      </w:r>
    </w:p>
    <w:p w:rsidR="00B37BA7" w:rsidRPr="00FA6D3B" w:rsidRDefault="00B37BA7" w:rsidP="00FA6D3B">
      <w:pPr>
        <w:ind w:left="4395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FA6D3B" w:rsidRDefault="00FA6D3B" w:rsidP="00FA6D3B">
      <w:pPr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Паспорт муниципальной программы</w:t>
      </w:r>
    </w:p>
    <w:p w:rsidR="00FA6D3B" w:rsidRDefault="00FA6D3B" w:rsidP="00FA6D3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Развитие физической культуры и спорта </w:t>
      </w:r>
    </w:p>
    <w:p w:rsidR="00FA6D3B" w:rsidRDefault="00FA6D3B" w:rsidP="00FA6D3B">
      <w:pPr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в Карталинском муниципальном районе на 2015-2017 годы»</w:t>
      </w: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pPr w:leftFromText="180" w:rightFromText="180" w:vertAnchor="text" w:tblpX="-459" w:tblpY="1"/>
        <w:tblOverlap w:val="never"/>
        <w:tblW w:w="10206" w:type="dxa"/>
        <w:tblLayout w:type="fixed"/>
        <w:tblLook w:val="0000"/>
      </w:tblPr>
      <w:tblGrid>
        <w:gridCol w:w="2552"/>
        <w:gridCol w:w="2695"/>
        <w:gridCol w:w="1491"/>
        <w:gridCol w:w="1870"/>
        <w:gridCol w:w="1598"/>
      </w:tblGrid>
      <w:tr w:rsidR="00FA6D3B" w:rsidRPr="00685271" w:rsidTr="007D35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Наименование 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Муниципальная программа «Развитие физической культуры и  спорта в Карталинском муниципальном районе на 2015-2017 годы» (далее именуе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тся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Программа)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A6D3B" w:rsidRPr="00685271" w:rsidTr="007D3545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Правовые основания для разработки Программы</w:t>
            </w:r>
          </w:p>
        </w:tc>
        <w:tc>
          <w:tcPr>
            <w:tcW w:w="76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Федеральный закон от 04.12.2007 года №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329-ФЗ 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«О физической культуре и спорте в Российской Федерации»;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Федеральный закон от 06.10.2003 года №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131-ФЗ «Об общих принципах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организации местного самоуправления в Российской Федерации»;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Постановление администрации Карталинского муниципального района «Об утверждении порядка разработки, утверждения  и  реализации муниципальных программ» №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1940 от 24.10.2013 года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A6D3B" w:rsidRPr="00685271" w:rsidTr="007D3545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Главный распорядитель средств районного бюджета</w:t>
            </w:r>
          </w:p>
        </w:tc>
        <w:tc>
          <w:tcPr>
            <w:tcW w:w="76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B" w:rsidRPr="00FA6D3B" w:rsidRDefault="00FA6D3B" w:rsidP="00B51244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Управление по делам культуры, спорта и молодежной политики</w:t>
            </w:r>
            <w:r w:rsidR="00B5124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A6D3B" w:rsidRPr="00685271" w:rsidTr="007D3545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Исполнители Программы </w:t>
            </w:r>
          </w:p>
        </w:tc>
        <w:tc>
          <w:tcPr>
            <w:tcW w:w="76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УДКСМ, МУ ДОД ДЮСШ, МКУ ДОД  ДЮСШ «Локомотив» </w:t>
            </w:r>
            <w:r w:rsidR="007D3545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Карталинского муниципального района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сельские поселения Карталинского муниципального района </w:t>
            </w:r>
          </w:p>
        </w:tc>
      </w:tr>
      <w:tr w:rsidR="00FA6D3B" w:rsidRPr="00685271" w:rsidTr="007D3545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bCs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Цели Программы</w:t>
            </w:r>
          </w:p>
        </w:tc>
        <w:tc>
          <w:tcPr>
            <w:tcW w:w="76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Увеличение доли населения Карталинского муниципального района, систематически занимающегося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физической культурой и спортом.</w:t>
            </w:r>
          </w:p>
          <w:p w:rsidR="00FA6D3B" w:rsidRPr="00FA6D3B" w:rsidRDefault="007D3545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роведение на территории Карталинского муниципального района единой государственной  политики в сфере физкультурно-массовой и спортивной работы;</w:t>
            </w:r>
          </w:p>
          <w:p w:rsidR="00FA6D3B" w:rsidRDefault="007D3545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риобщение  населения Карталинского муниципального района к регулярным занятиям физической культурой и спортом через проведение спортивно-массовых мероприятий и участие в соревнованиях областного и всероссийского уровней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833D4C" w:rsidRDefault="00833D4C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833D4C" w:rsidRPr="00FA6D3B" w:rsidRDefault="00833D4C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  <w:tr w:rsidR="00FA6D3B" w:rsidRPr="00685271" w:rsidTr="007D3545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Задачи Программы</w:t>
            </w:r>
          </w:p>
        </w:tc>
        <w:tc>
          <w:tcPr>
            <w:tcW w:w="76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еализация мероприятий по вопросам организации массового спорта  и пропаган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ды физической культуры и спорта.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овышение интереса различных категорий населения к занятиям физической культурой и спортом посредством пропаганды физической культуры и спорта, включающей в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себя распространение социальной рекламы, продвижение ценностей физической культуры и здорового образа жизни, освещение,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проводимых соревнований в СМИ.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беспечение доступности участия различных категорий населения в спортивно-массовых мероприятиях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A6D3B" w:rsidRPr="00685271" w:rsidTr="007D3545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Показатели (индикаторы)  Программы</w:t>
            </w:r>
          </w:p>
        </w:tc>
        <w:tc>
          <w:tcPr>
            <w:tcW w:w="76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 Количество участников спортивно-массовых мероприятий: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 г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од – 5900 человек;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2016 </w:t>
            </w:r>
            <w:r w:rsidR="007D3545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од –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6000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человек;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</w:t>
            </w:r>
            <w:r w:rsidR="007D3545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од –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6100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человек.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Количество учащихся в МКУ ДОД  ДЮСШ «Локомотив» </w:t>
            </w:r>
            <w:r w:rsidR="007D3545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Карталинского муниципального района: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7D3545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од –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225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человек;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2016 </w:t>
            </w:r>
            <w:r w:rsidR="007D3545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од –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245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человек;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2017 </w:t>
            </w:r>
            <w:r w:rsidR="007D3545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од –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260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человек.</w:t>
            </w:r>
          </w:p>
        </w:tc>
      </w:tr>
      <w:tr w:rsidR="00FA6D3B" w:rsidRPr="00FA6D3B" w:rsidTr="007D3545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bCs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Сроки реализации  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bCs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2015-2017 годы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A6D3B" w:rsidRPr="00685271" w:rsidTr="007D3545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6D3B" w:rsidRPr="00FA6D3B" w:rsidRDefault="00FA6D3B" w:rsidP="00ED515B">
            <w:pPr>
              <w:rPr>
                <w:rFonts w:ascii="Times New Roman" w:hAnsi="Times New Roman"/>
                <w:bCs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Перечень мероприятий </w:t>
            </w:r>
            <w:r w:rsidR="00ED515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</w:t>
            </w:r>
            <w:r w:rsidRPr="00FA6D3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рограммы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B" w:rsidRPr="00FA6D3B" w:rsidRDefault="007D3545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Проведение спортивн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 -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массовых и физкультурно-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оздоровительных мероприятий.</w:t>
            </w:r>
          </w:p>
          <w:p w:rsidR="00FA6D3B" w:rsidRPr="007D3545" w:rsidRDefault="007D3545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Предоставление услуг дополнительного образования детей в «ДЮСШ «Локомотив» Карталинского муниципального района. Организация работы по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подготовке</w:t>
            </w:r>
            <w:r w:rsidR="00FA6D3B" w:rsidRPr="00FA6D3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 участию в 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областных и всероссийских соревнованиях.</w:t>
            </w:r>
            <w:r w:rsidR="00FA6D3B" w:rsidRPr="00FA6D3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</w:t>
            </w:r>
          </w:p>
          <w:p w:rsidR="00FA6D3B" w:rsidRPr="00FA6D3B" w:rsidRDefault="007D3545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Спартакиада</w:t>
            </w:r>
            <w:r w:rsidR="00FA6D3B" w:rsidRPr="00FA6D3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сельских поселений Карталинского </w:t>
            </w:r>
          </w:p>
          <w:p w:rsidR="00FA6D3B" w:rsidRPr="00FA6D3B" w:rsidRDefault="007D3545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униципального района. </w:t>
            </w:r>
          </w:p>
        </w:tc>
      </w:tr>
      <w:tr w:rsidR="00FA6D3B" w:rsidRPr="00685271" w:rsidTr="007D3545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Ожидаемые конечные результаты реализации Программы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Реализация  мероприятий  программы   позволит: 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величить долю  на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softHyphen/>
              <w:t>се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softHyphen/>
              <w:t xml:space="preserve">ления Карталинского муниципального района, систематически занимающегося физической культурой  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спортом  с 19,0 %  до 19,5 %.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величить количество детей и подростков, занимающихся в объединениях по видам спорта с 225 до 260 человек.</w:t>
            </w:r>
          </w:p>
        </w:tc>
      </w:tr>
      <w:tr w:rsidR="00FA6D3B" w:rsidRPr="00685271" w:rsidTr="007D3545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Организация контроля за реализацией Программы</w:t>
            </w:r>
          </w:p>
        </w:tc>
        <w:tc>
          <w:tcPr>
            <w:tcW w:w="76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Контроль за реализацией Программы обеспечивает 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главный распорядитель бюджетных средств Управление по делам культуры, спорта и молодежной политики администрации Карталинского муниципального района.</w:t>
            </w:r>
          </w:p>
        </w:tc>
      </w:tr>
      <w:tr w:rsidR="00FA6D3B" w:rsidRPr="00FA6D3B" w:rsidTr="007D3545"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Объемы и источники финансирования программы  по годам всего: 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в том числе,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-за счет средств местного бюджета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(финансирование мероприятий программы осуществляется в пределах выделенных бюджетных средств и уточняется исходя из возможности бюджета) 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auto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Всего: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(тыс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яч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руб</w:t>
            </w:r>
            <w:r w:rsidR="007D354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лей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9267,0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9267,0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auto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2015 год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3089,0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3089,0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auto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2016 год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3089,0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3089,0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2017 год 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3089,0</w:t>
            </w: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FA6D3B" w:rsidRPr="00FA6D3B" w:rsidRDefault="00FA6D3B" w:rsidP="007D3545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3089,0</w:t>
            </w:r>
          </w:p>
        </w:tc>
      </w:tr>
    </w:tbl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D515B" w:rsidRDefault="00FA6D3B" w:rsidP="007D3545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eastAsia="ru-RU"/>
        </w:rPr>
        <w:t>I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.</w:t>
      </w:r>
      <w:r w:rsidR="007D35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Общая характеристика сферы </w:t>
      </w:r>
    </w:p>
    <w:p w:rsidR="00FA6D3B" w:rsidRPr="00FA6D3B" w:rsidRDefault="00FA6D3B" w:rsidP="007D3545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реа</w:t>
      </w:r>
      <w:r w:rsidR="007D3545">
        <w:rPr>
          <w:rFonts w:ascii="Times New Roman" w:hAnsi="Times New Roman"/>
          <w:sz w:val="28"/>
          <w:szCs w:val="28"/>
          <w:lang w:val="ru-RU" w:eastAsia="ru-RU"/>
        </w:rPr>
        <w:t xml:space="preserve">лизации </w:t>
      </w:r>
      <w:r w:rsidR="00ED515B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7D3545">
        <w:rPr>
          <w:rFonts w:ascii="Times New Roman" w:hAnsi="Times New Roman"/>
          <w:sz w:val="28"/>
          <w:szCs w:val="28"/>
          <w:lang w:val="ru-RU" w:eastAsia="ru-RU"/>
        </w:rPr>
        <w:t>рограммы</w:t>
      </w: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7D354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1. Спорт, как и физическая культура в целом, является важнейшим средством развития физических, эстетических и нравственных качеств человеческой личности, воспитания подрастающего поколения.  Физическая культура и спорт наряду с образованием и здравоохранением являются отраслью социальной сферы, отвечающей за здоровье населения и способствующей всестороннему развитию личности.</w:t>
      </w:r>
    </w:p>
    <w:p w:rsidR="00FA6D3B" w:rsidRPr="00FA6D3B" w:rsidRDefault="00FA6D3B" w:rsidP="007D354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2.</w:t>
      </w:r>
      <w:r w:rsidR="007D35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Развитие спорта с полным основанием можно отнести к вопросам самореализации личности и престижа муниципального сообщества, его активного включения в процессы развития    всего российского сообщества. </w:t>
      </w:r>
    </w:p>
    <w:p w:rsidR="00FA6D3B" w:rsidRPr="00FA6D3B" w:rsidRDefault="00FA6D3B" w:rsidP="007D354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3.</w:t>
      </w:r>
      <w:r w:rsidR="007D35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Основными показателями для муниципальных образований, касающимися сферы физическо</w:t>
      </w:r>
      <w:r w:rsidR="007D3545">
        <w:rPr>
          <w:rFonts w:ascii="Times New Roman" w:hAnsi="Times New Roman"/>
          <w:sz w:val="28"/>
          <w:szCs w:val="28"/>
          <w:lang w:val="ru-RU" w:eastAsia="ru-RU"/>
        </w:rPr>
        <w:t>й культурой и спорта, являются:</w:t>
      </w:r>
    </w:p>
    <w:p w:rsidR="00FA6D3B" w:rsidRPr="00FA6D3B" w:rsidRDefault="007D3545" w:rsidP="007D354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1) 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доля систематически занимающихся физической культурой и спортом жителей от их общего коли</w:t>
      </w:r>
      <w:r>
        <w:rPr>
          <w:rFonts w:ascii="Times New Roman" w:hAnsi="Times New Roman"/>
          <w:sz w:val="28"/>
          <w:szCs w:val="28"/>
          <w:lang w:val="ru-RU" w:eastAsia="ru-RU"/>
        </w:rPr>
        <w:t>чества;</w:t>
      </w:r>
    </w:p>
    <w:p w:rsidR="00FA6D3B" w:rsidRPr="00FA6D3B" w:rsidRDefault="007D3545" w:rsidP="007D354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2) 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числен</w:t>
      </w:r>
      <w:r>
        <w:rPr>
          <w:rFonts w:ascii="Times New Roman" w:hAnsi="Times New Roman"/>
          <w:sz w:val="28"/>
          <w:szCs w:val="28"/>
          <w:lang w:val="ru-RU" w:eastAsia="ru-RU"/>
        </w:rPr>
        <w:t>ность учащихся ДЮСШ «Локомотив».</w:t>
      </w:r>
    </w:p>
    <w:p w:rsidR="00FA6D3B" w:rsidRPr="00FA6D3B" w:rsidRDefault="00FA6D3B" w:rsidP="007D354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4. К 2017 году муниципальной программой планируется</w:t>
      </w:r>
      <w:r w:rsidR="007D35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достигнуть:</w:t>
      </w:r>
    </w:p>
    <w:p w:rsidR="00FA6D3B" w:rsidRPr="00FA6D3B" w:rsidRDefault="007D3545" w:rsidP="007D354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) долю населения Карталинского муниципального района, систематически занимающегося физической культурой и спортом планируется достигнуть </w:t>
      </w:r>
      <w:r>
        <w:rPr>
          <w:rFonts w:ascii="Times New Roman" w:hAnsi="Times New Roman"/>
          <w:sz w:val="28"/>
          <w:szCs w:val="28"/>
          <w:lang w:val="ru-RU" w:eastAsia="ru-RU"/>
        </w:rPr>
        <w:t>уровня 19,5%;</w:t>
      </w:r>
    </w:p>
    <w:p w:rsidR="00FA6D3B" w:rsidRPr="00FA6D3B" w:rsidRDefault="007D3545" w:rsidP="007D354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) общее количество  учащихся   </w:t>
      </w:r>
      <w:r>
        <w:rPr>
          <w:rFonts w:ascii="Times New Roman" w:hAnsi="Times New Roman"/>
          <w:sz w:val="28"/>
          <w:szCs w:val="28"/>
          <w:lang w:val="ru-RU" w:eastAsia="ru-RU"/>
        </w:rPr>
        <w:t>ДЮСШ «Локомотив» 260 человек.</w:t>
      </w:r>
    </w:p>
    <w:p w:rsidR="00FA6D3B" w:rsidRPr="007D3545" w:rsidRDefault="00FA6D3B" w:rsidP="007D354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D3545">
        <w:rPr>
          <w:rFonts w:ascii="Times New Roman" w:hAnsi="Times New Roman"/>
          <w:sz w:val="28"/>
          <w:szCs w:val="28"/>
          <w:lang w:val="ru-RU" w:eastAsia="ru-RU"/>
        </w:rPr>
        <w:t>5.</w:t>
      </w:r>
      <w:r w:rsidR="007D35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D3545">
        <w:rPr>
          <w:rFonts w:ascii="Times New Roman" w:hAnsi="Times New Roman"/>
          <w:sz w:val="28"/>
          <w:szCs w:val="28"/>
          <w:lang w:val="ru-RU" w:eastAsia="ru-RU"/>
        </w:rPr>
        <w:t>На 31.12.2014 года в Карталинском муниципальном районе имеются спортивные сооружения:</w:t>
      </w:r>
    </w:p>
    <w:p w:rsidR="00FA6D3B" w:rsidRPr="007D3545" w:rsidRDefault="003725F9" w:rsidP="007D3545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1) </w:t>
      </w:r>
      <w:r w:rsidR="007D3545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FA6D3B" w:rsidRPr="007D3545">
        <w:rPr>
          <w:rFonts w:ascii="Times New Roman" w:hAnsi="Times New Roman"/>
          <w:sz w:val="28"/>
          <w:szCs w:val="28"/>
          <w:lang w:val="ru-RU" w:eastAsia="ru-RU"/>
        </w:rPr>
        <w:t>лоскостные сооружения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</w:p>
    <w:tbl>
      <w:tblPr>
        <w:tblpPr w:leftFromText="180" w:rightFromText="180" w:vertAnchor="text" w:tblpXSpec="center" w:tblpY="1"/>
        <w:tblOverlap w:val="never"/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0"/>
        <w:gridCol w:w="1261"/>
        <w:gridCol w:w="1432"/>
        <w:gridCol w:w="2126"/>
        <w:gridCol w:w="1560"/>
      </w:tblGrid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Размер</w:t>
            </w:r>
          </w:p>
        </w:tc>
        <w:tc>
          <w:tcPr>
            <w:tcW w:w="1432" w:type="dxa"/>
          </w:tcPr>
          <w:p w:rsid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ЕПС/</w:t>
            </w:r>
          </w:p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чел</w:t>
            </w:r>
            <w:r w:rsid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овек</w:t>
            </w:r>
          </w:p>
        </w:tc>
        <w:tc>
          <w:tcPr>
            <w:tcW w:w="2126" w:type="dxa"/>
          </w:tcPr>
          <w:p w:rsid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Количество/</w:t>
            </w:r>
          </w:p>
          <w:p w:rsidR="00FA6D3B" w:rsidRPr="003725F9" w:rsidRDefault="003725F9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единиц</w:t>
            </w:r>
          </w:p>
        </w:tc>
        <w:tc>
          <w:tcPr>
            <w:tcW w:w="1560" w:type="dxa"/>
          </w:tcPr>
          <w:p w:rsid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Площадь/</w:t>
            </w:r>
          </w:p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кв.м</w:t>
            </w:r>
            <w:r w:rsid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Мини-футбольные поля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20*40</w:t>
            </w: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550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17600 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Футбольное поле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90*45</w:t>
            </w: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4050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Футбольные поля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21650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Волейбольные площадки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9*18</w:t>
            </w: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544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5508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Баскетбольные площадки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24*12</w:t>
            </w: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510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9792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Площадки для подвижных игр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10*20</w:t>
            </w: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2000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Хоккейный корт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30*60</w:t>
            </w: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3600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Беговые дорожки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400*5</w:t>
            </w: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2000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110*7</w:t>
            </w: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15400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Беговые дорожки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17400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Площадки для гимнастики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15*40</w:t>
            </w: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12000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Ядро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22000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Л/а площадка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2400</w:t>
            </w:r>
          </w:p>
        </w:tc>
      </w:tr>
      <w:tr w:rsidR="00FA6D3B" w:rsidRPr="003725F9" w:rsidTr="003725F9">
        <w:trPr>
          <w:jc w:val="center"/>
        </w:trPr>
        <w:tc>
          <w:tcPr>
            <w:tcW w:w="301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261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432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1487</w:t>
            </w:r>
          </w:p>
        </w:tc>
        <w:tc>
          <w:tcPr>
            <w:tcW w:w="212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148</w:t>
            </w:r>
          </w:p>
        </w:tc>
        <w:tc>
          <w:tcPr>
            <w:tcW w:w="1560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96350</w:t>
            </w:r>
          </w:p>
        </w:tc>
      </w:tr>
    </w:tbl>
    <w:p w:rsidR="00FA6D3B" w:rsidRPr="003725F9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2) с</w:t>
      </w:r>
      <w:r w:rsidR="00FA6D3B" w:rsidRPr="003725F9">
        <w:rPr>
          <w:rFonts w:ascii="Times New Roman" w:hAnsi="Times New Roman"/>
          <w:sz w:val="28"/>
          <w:szCs w:val="28"/>
          <w:lang w:val="ru-RU" w:eastAsia="ru-RU"/>
        </w:rPr>
        <w:t>портивные залы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276"/>
        <w:gridCol w:w="1417"/>
        <w:gridCol w:w="2127"/>
        <w:gridCol w:w="1559"/>
      </w:tblGrid>
      <w:tr w:rsidR="00FA6D3B" w:rsidRPr="00FA6D3B" w:rsidTr="003725F9">
        <w:tc>
          <w:tcPr>
            <w:tcW w:w="2977" w:type="dxa"/>
          </w:tcPr>
          <w:p w:rsidR="00FA6D3B" w:rsidRPr="00FA6D3B" w:rsidRDefault="003725F9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Размер</w:t>
            </w:r>
          </w:p>
        </w:tc>
        <w:tc>
          <w:tcPr>
            <w:tcW w:w="141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ЕПС</w:t>
            </w:r>
          </w:p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/чел/</w:t>
            </w:r>
          </w:p>
        </w:tc>
        <w:tc>
          <w:tcPr>
            <w:tcW w:w="212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Количество</w:t>
            </w:r>
          </w:p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/ед/</w:t>
            </w:r>
          </w:p>
        </w:tc>
        <w:tc>
          <w:tcPr>
            <w:tcW w:w="1559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Площадь</w:t>
            </w:r>
          </w:p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pgNum/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В.м/</w:t>
            </w:r>
          </w:p>
        </w:tc>
      </w:tr>
      <w:tr w:rsidR="00FA6D3B" w:rsidRPr="00FA6D3B" w:rsidTr="003725F9">
        <w:tc>
          <w:tcPr>
            <w:tcW w:w="2977" w:type="dxa"/>
          </w:tcPr>
          <w:p w:rsidR="00FA6D3B" w:rsidRPr="00FA6D3B" w:rsidRDefault="003725F9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Муниципальные</w:t>
            </w:r>
          </w:p>
        </w:tc>
        <w:tc>
          <w:tcPr>
            <w:tcW w:w="1276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9*18</w:t>
            </w:r>
          </w:p>
        </w:tc>
        <w:tc>
          <w:tcPr>
            <w:tcW w:w="141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480</w:t>
            </w:r>
          </w:p>
        </w:tc>
        <w:tc>
          <w:tcPr>
            <w:tcW w:w="212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559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2592</w:t>
            </w:r>
          </w:p>
        </w:tc>
      </w:tr>
      <w:tr w:rsidR="00FA6D3B" w:rsidRPr="00FA6D3B" w:rsidTr="003725F9">
        <w:tc>
          <w:tcPr>
            <w:tcW w:w="2977" w:type="dxa"/>
          </w:tcPr>
          <w:p w:rsid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</w:t>
            </w:r>
            <w:r w:rsid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альные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</w:p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ведомст</w:t>
            </w:r>
            <w:r w:rsid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венные</w:t>
            </w:r>
          </w:p>
        </w:tc>
        <w:tc>
          <w:tcPr>
            <w:tcW w:w="1276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9*18</w:t>
            </w:r>
          </w:p>
        </w:tc>
        <w:tc>
          <w:tcPr>
            <w:tcW w:w="141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12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162</w:t>
            </w:r>
          </w:p>
        </w:tc>
      </w:tr>
      <w:tr w:rsidR="00FA6D3B" w:rsidRPr="00FA6D3B" w:rsidTr="003725F9">
        <w:tc>
          <w:tcPr>
            <w:tcW w:w="2977" w:type="dxa"/>
          </w:tcPr>
          <w:p w:rsidR="00FA6D3B" w:rsidRPr="00FA6D3B" w:rsidRDefault="003725F9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Муниципальные</w:t>
            </w:r>
          </w:p>
        </w:tc>
        <w:tc>
          <w:tcPr>
            <w:tcW w:w="1276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12*24</w:t>
            </w:r>
          </w:p>
        </w:tc>
        <w:tc>
          <w:tcPr>
            <w:tcW w:w="141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212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559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1440</w:t>
            </w:r>
          </w:p>
        </w:tc>
      </w:tr>
      <w:tr w:rsidR="00FA6D3B" w:rsidRPr="00FA6D3B" w:rsidTr="003725F9">
        <w:tc>
          <w:tcPr>
            <w:tcW w:w="2977" w:type="dxa"/>
          </w:tcPr>
          <w:p w:rsidR="00FA6D3B" w:rsidRPr="00FA6D3B" w:rsidRDefault="003725F9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Субъект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оссийской </w:t>
            </w:r>
            <w:r w:rsidR="00FA6D3B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едерации</w:t>
            </w:r>
          </w:p>
        </w:tc>
        <w:tc>
          <w:tcPr>
            <w:tcW w:w="1276" w:type="dxa"/>
          </w:tcPr>
          <w:p w:rsidR="00FA6D3B" w:rsidRPr="00FA6D3B" w:rsidRDefault="00FA6D3B" w:rsidP="003725F9">
            <w:pPr>
              <w:rPr>
                <w:rFonts w:ascii="Times New Roman" w:hAnsi="Times New Roman"/>
                <w:b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12*24</w:t>
            </w:r>
          </w:p>
        </w:tc>
        <w:tc>
          <w:tcPr>
            <w:tcW w:w="141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212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576</w:t>
            </w:r>
          </w:p>
        </w:tc>
      </w:tr>
      <w:tr w:rsidR="00FA6D3B" w:rsidRPr="00FA6D3B" w:rsidTr="003725F9">
        <w:tc>
          <w:tcPr>
            <w:tcW w:w="2977" w:type="dxa"/>
          </w:tcPr>
          <w:p w:rsidR="003725F9" w:rsidRDefault="003725F9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альные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</w:p>
          <w:p w:rsidR="00FA6D3B" w:rsidRPr="00FA6D3B" w:rsidRDefault="003725F9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ведомст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венные</w:t>
            </w:r>
          </w:p>
        </w:tc>
        <w:tc>
          <w:tcPr>
            <w:tcW w:w="1276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36*18</w:t>
            </w:r>
          </w:p>
        </w:tc>
        <w:tc>
          <w:tcPr>
            <w:tcW w:w="141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212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648</w:t>
            </w:r>
          </w:p>
        </w:tc>
      </w:tr>
      <w:tr w:rsidR="00FA6D3B" w:rsidRPr="00FA6D3B" w:rsidTr="003725F9">
        <w:tc>
          <w:tcPr>
            <w:tcW w:w="2977" w:type="dxa"/>
          </w:tcPr>
          <w:p w:rsidR="003725F9" w:rsidRDefault="003725F9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альные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/</w:t>
            </w:r>
          </w:p>
          <w:p w:rsidR="00FA6D3B" w:rsidRPr="00FA6D3B" w:rsidRDefault="003725F9" w:rsidP="003725F9">
            <w:pPr>
              <w:rPr>
                <w:rFonts w:ascii="Times New Roman" w:hAnsi="Times New Roman"/>
                <w:b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ведомст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венные</w:t>
            </w:r>
          </w:p>
        </w:tc>
        <w:tc>
          <w:tcPr>
            <w:tcW w:w="1276" w:type="dxa"/>
          </w:tcPr>
          <w:p w:rsidR="00FA6D3B" w:rsidRPr="00FA6D3B" w:rsidRDefault="00FA6D3B" w:rsidP="003725F9">
            <w:pPr>
              <w:rPr>
                <w:rFonts w:ascii="Times New Roman" w:hAnsi="Times New Roman"/>
                <w:b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12*24</w:t>
            </w:r>
          </w:p>
        </w:tc>
        <w:tc>
          <w:tcPr>
            <w:tcW w:w="141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212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288</w:t>
            </w:r>
          </w:p>
        </w:tc>
      </w:tr>
      <w:tr w:rsidR="00FA6D3B" w:rsidRPr="00FA6D3B" w:rsidTr="003725F9">
        <w:tc>
          <w:tcPr>
            <w:tcW w:w="297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Частные </w:t>
            </w:r>
          </w:p>
        </w:tc>
        <w:tc>
          <w:tcPr>
            <w:tcW w:w="1276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20*50</w:t>
            </w:r>
          </w:p>
        </w:tc>
        <w:tc>
          <w:tcPr>
            <w:tcW w:w="141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2127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1000</w:t>
            </w:r>
          </w:p>
        </w:tc>
      </w:tr>
      <w:tr w:rsidR="00FA6D3B" w:rsidRPr="003725F9" w:rsidTr="003725F9">
        <w:tc>
          <w:tcPr>
            <w:tcW w:w="2977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276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880</w:t>
            </w:r>
          </w:p>
        </w:tc>
        <w:tc>
          <w:tcPr>
            <w:tcW w:w="2127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1559" w:type="dxa"/>
          </w:tcPr>
          <w:p w:rsidR="00FA6D3B" w:rsidRPr="003725F9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>6706</w:t>
            </w:r>
          </w:p>
        </w:tc>
      </w:tr>
    </w:tbl>
    <w:p w:rsidR="00FA6D3B" w:rsidRPr="003725F9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3) д</w:t>
      </w:r>
      <w:r w:rsidR="00FA6D3B" w:rsidRPr="003725F9">
        <w:rPr>
          <w:rFonts w:ascii="Times New Roman" w:hAnsi="Times New Roman"/>
          <w:sz w:val="28"/>
          <w:szCs w:val="28"/>
          <w:lang w:val="ru-RU" w:eastAsia="ru-RU"/>
        </w:rPr>
        <w:t>ругие спортсооружения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388"/>
      </w:tblGrid>
      <w:tr w:rsidR="00FA6D3B" w:rsidRPr="00FA6D3B" w:rsidTr="003725F9">
        <w:tc>
          <w:tcPr>
            <w:tcW w:w="4968" w:type="dxa"/>
          </w:tcPr>
          <w:p w:rsidR="00FA6D3B" w:rsidRPr="00FA6D3B" w:rsidRDefault="003725F9" w:rsidP="00FA6D3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Название спортсооружений/вид</w:t>
            </w:r>
          </w:p>
        </w:tc>
        <w:tc>
          <w:tcPr>
            <w:tcW w:w="4388" w:type="dxa"/>
          </w:tcPr>
          <w:p w:rsidR="00FA6D3B" w:rsidRPr="00FA6D3B" w:rsidRDefault="00FA6D3B" w:rsidP="00FA6D3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Количество</w:t>
            </w:r>
          </w:p>
        </w:tc>
      </w:tr>
      <w:tr w:rsidR="00FA6D3B" w:rsidRPr="00FA6D3B" w:rsidTr="003725F9">
        <w:tc>
          <w:tcPr>
            <w:tcW w:w="4968" w:type="dxa"/>
          </w:tcPr>
          <w:p w:rsidR="00FA6D3B" w:rsidRPr="00FA6D3B" w:rsidRDefault="00FA6D3B" w:rsidP="003725F9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Приспособленные</w:t>
            </w:r>
            <w:r w:rsidR="003725F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спортсооружения /тренажерные залы</w:t>
            </w:r>
          </w:p>
        </w:tc>
        <w:tc>
          <w:tcPr>
            <w:tcW w:w="4388" w:type="dxa"/>
          </w:tcPr>
          <w:p w:rsidR="00FA6D3B" w:rsidRPr="00FA6D3B" w:rsidRDefault="00FA6D3B" w:rsidP="00FA6D3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32</w:t>
            </w:r>
          </w:p>
        </w:tc>
      </w:tr>
    </w:tbl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6.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В Карталинском муниципальном районе развиваются такие виды спорта: баскетбол, легкая атлетика, греко-римская борьба, русская лапта, туризм, хоккей с шайбой, футбол. 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7.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Деятельность Управления по делам культуры, спорта и молодежной политики в 2014 году осуществлялась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совместно с органами местного самоуправления Карталинского район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а, ведомственными физкультурно-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спортивными клубами, учреждениями и предприятиями района на основе календарного планирования.  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lastRenderedPageBreak/>
        <w:t>8.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Самыми массовыми мероприятиями стали: Всероссийские соревнования по лыжным гонкам «Лыжня России», Лыжная эстафета на призы Героя Советского союза И.С. Пьянзина, Открытый турнир по баскетболу среди мужских команд, посвященный памяти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В. Чигвинцева, Легкоатлетическая эстафета на призы газеты «Карталинская новь» (в зачет 8 спартакиады </w:t>
      </w:r>
      <w:r w:rsidR="003725F9" w:rsidRPr="00FA6D3B">
        <w:rPr>
          <w:rFonts w:ascii="Times New Roman" w:hAnsi="Times New Roman"/>
          <w:sz w:val="28"/>
          <w:szCs w:val="28"/>
          <w:lang w:val="ru-RU" w:eastAsia="ru-RU"/>
        </w:rPr>
        <w:t>Карталинско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го</w:t>
      </w:r>
      <w:r w:rsidR="003725F9" w:rsidRPr="00FA6D3B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го</w:t>
      </w:r>
      <w:r w:rsidR="003725F9" w:rsidRPr="00FA6D3B">
        <w:rPr>
          <w:rFonts w:ascii="Times New Roman" w:hAnsi="Times New Roman"/>
          <w:sz w:val="28"/>
          <w:szCs w:val="28"/>
          <w:lang w:val="ru-RU" w:eastAsia="ru-RU"/>
        </w:rPr>
        <w:t xml:space="preserve"> район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), «Малые олимпийские игры» среди ДОУ (в зачет 2 спартакиады «Спортивные звездочки»), Всероссийский турнир по греко-римской борьбе памяти землякам-Карталинцам, Героям Советского союза,  спартакиада сельских поселений Карталинского муниципального района и другие спортивные мероприятия.     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9.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Управлением, тренерским составом спортивных школ ведется систематическая работа по спортивному совершенствованию спортивного мастерства участников спортивных меро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приятий и воспитанников детско-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юношеских спортивных школ. В настоящее время услуги дополнительного образования физкультурно-спортивной направленности предоставляются на базе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Муниципальных учреждений дополнительного образования детей детско-юношеских спортивных школ, в которых созданы необходимые условия для качественного предоставления услуг.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10.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Необходимо отметить возросший уровень выступления сборных команд поселений, активизировалась работа, инструкторов секций по волейболу, теннису и др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угим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 видам спорта (Полтавское, Анненское, Еленинское поселения).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11.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В отчетном году проводилась работа по укреплению материально- технической базы ДЮСШ: проведен косметический ремонт в здании ДЮСШ, приобретен инвентарь для ДЮСШ. 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12.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Активное участие в спортивных мероприятия, посвященных памятным датам принимали представители общественных формирований: «Сов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ет ветеранов», «Память сердца».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13.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Вопросы развития спорта неоднократно обсуждались на встречах главы со спортивной общественностью. По итогам встреч решались организационные вопросы по проведению спортивных мероприятий, строительств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у спортивной площадки для мини-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футбола у здания ДЮСШ, решен вопрос по подготовке лыжной трассы для проведения районных соревнований. 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14.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Роль физической культуры и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культурой, состояние здоровья населения и успехи на состязаниях различного уровня являются бесспорным доказательством жизнеспособности и духовной силы. 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15.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Не смотря на  наличие системной работы в Карталинском муниципальном районе существуют проблемы, препятствующие развитию физической культуры и спорта. 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16. Состояние имеющихся в районе спортивных объектов, особенно плоскостных сооружений, в основном, не отвечает современным требованиям и требованиям техники безопасности. Кроме того, имеющиеся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плоскостные сооружения – открытые площадки и эффективность их крайне низка в связи с сезонными ограничениями сроков эксплуатации, зависимостью от погодных условий и отсутствием элементарных удобств.   </w:t>
      </w:r>
    </w:p>
    <w:p w:rsidR="00FA6D3B" w:rsidRPr="00FA6D3B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17. 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Соответственно приоритетным направлением работы по развитию физической культуры и спорта определено строительство новых спортивных сооружений и реконструкция имеющихся спортивных объектов для более эффективного их использования. Кроме того, для повышения качества проведения учебных занятий и мероприятий физкультурн</w:t>
      </w:r>
      <w:r>
        <w:rPr>
          <w:rFonts w:ascii="Times New Roman" w:hAnsi="Times New Roman"/>
          <w:sz w:val="28"/>
          <w:szCs w:val="28"/>
          <w:lang w:val="ru-RU" w:eastAsia="ru-RU"/>
        </w:rPr>
        <w:t>о-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спортивной направленности, привлечения обучающихся образовательных организаций к регулярным занятиям физической культурой и спортом, удовлетворения потребностей населения в занятиях физической культурой, повышения интереса различных категорий граждан к занятиям физической культурой и спортом необходимо обеспечить модернизацию пришкольных спортивных площадок и оснащение их оборудованием в соответствии с современными  требованиями.        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18.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D4F78">
        <w:rPr>
          <w:rFonts w:ascii="Times New Roman" w:hAnsi="Times New Roman"/>
          <w:sz w:val="28"/>
          <w:szCs w:val="28"/>
          <w:lang w:val="ru-RU" w:eastAsia="ru-RU"/>
        </w:rPr>
        <w:t>Н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еобходима последовательная системная работа по созданию инфраструктуры в сфере физической культуры и спорта. 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19. 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Необходимость разработки </w:t>
      </w:r>
      <w:r w:rsidR="000D4F78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рограммы на период 2015-2017 годы и решения задач по развитию физической культуры и спорта программно-целевым методом обусловлены рядом объективных факторов: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1)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сложностью и масштабностью имеющихся проблем физической культуры и спорта и необходимостью их решения с помощью разработки и осуществления комплекса мероприятий;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2)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потребностью в координации усилий органов власти различных уровней для решения проблем в сфере физической культуры и спорта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3725F9">
      <w:pPr>
        <w:ind w:firstLine="709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bCs/>
          <w:sz w:val="28"/>
          <w:szCs w:val="28"/>
          <w:lang w:eastAsia="ru-RU"/>
        </w:rPr>
        <w:t>II</w:t>
      </w:r>
      <w:r w:rsidR="003725F9">
        <w:rPr>
          <w:rFonts w:ascii="Times New Roman" w:hAnsi="Times New Roman"/>
          <w:bCs/>
          <w:sz w:val="28"/>
          <w:szCs w:val="28"/>
          <w:lang w:val="ru-RU" w:eastAsia="ru-RU"/>
        </w:rPr>
        <w:t>. Цели, задачи</w:t>
      </w:r>
      <w:r w:rsidRPr="00FA6D3B">
        <w:rPr>
          <w:rFonts w:ascii="Times New Roman" w:hAnsi="Times New Roman"/>
          <w:bCs/>
          <w:sz w:val="28"/>
          <w:szCs w:val="28"/>
          <w:lang w:val="ru-RU" w:eastAsia="ru-RU"/>
        </w:rPr>
        <w:t>, сроки реа</w:t>
      </w:r>
      <w:r w:rsidR="003725F9">
        <w:rPr>
          <w:rFonts w:ascii="Times New Roman" w:hAnsi="Times New Roman"/>
          <w:bCs/>
          <w:sz w:val="28"/>
          <w:szCs w:val="28"/>
          <w:lang w:val="ru-RU" w:eastAsia="ru-RU"/>
        </w:rPr>
        <w:t xml:space="preserve">лизации </w:t>
      </w:r>
      <w:r w:rsidR="00437024"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r w:rsidR="003725F9">
        <w:rPr>
          <w:rFonts w:ascii="Times New Roman" w:hAnsi="Times New Roman"/>
          <w:bCs/>
          <w:sz w:val="28"/>
          <w:szCs w:val="28"/>
          <w:lang w:val="ru-RU" w:eastAsia="ru-RU"/>
        </w:rPr>
        <w:t>рограммы</w:t>
      </w: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771381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20. Основные цели </w:t>
      </w:r>
      <w:r w:rsidR="00437024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рограммы: </w:t>
      </w:r>
    </w:p>
    <w:p w:rsidR="00FA6D3B" w:rsidRPr="00FA6D3B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) увеличить долю населения Карталинского муниципального района, систематически занимающегося физической культурой и спортом;  </w:t>
      </w:r>
    </w:p>
    <w:p w:rsidR="00FA6D3B" w:rsidRPr="00FA6D3B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)  проведение на территории Карталинского муниципального района единой государственной политики в сфере физкультурно-массовой и спортивной работы; </w:t>
      </w:r>
    </w:p>
    <w:p w:rsidR="00FA6D3B" w:rsidRPr="00FA6D3B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приобщить население Карталинского муниципального района к регулярным занятиям физической культурой и спортом через проведение спортивно-массовых мероприятий и участие в соревнованиях областного и всероссийского уровней;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21.</w:t>
      </w:r>
      <w:r w:rsidRPr="00FA6D3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Задачи </w:t>
      </w:r>
      <w:r w:rsidR="00A24697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рограммы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FA6D3B" w:rsidRPr="00FA6D3B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) реализация мероприятий по вопросам организации массового спорта  и пропаганды физической культуры и спорта;</w:t>
      </w:r>
    </w:p>
    <w:p w:rsidR="00FA6D3B" w:rsidRPr="00FA6D3B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) повышение интереса различных категорий населения к занятиям физической культурой и спортом посредством пропаганды физической культуры и спорта, включающей в себя распространение социальной 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lastRenderedPageBreak/>
        <w:t>рекламы, продвижение ценностей физической культуры и здорового образа жизни, освещение,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проводимых соревнований в СМИ;</w:t>
      </w:r>
    </w:p>
    <w:p w:rsidR="00FA6D3B" w:rsidRPr="00FA6D3B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) обеспечение доступности участия различных категорий населения в </w:t>
      </w:r>
      <w:r>
        <w:rPr>
          <w:rFonts w:ascii="Times New Roman" w:hAnsi="Times New Roman"/>
          <w:sz w:val="28"/>
          <w:szCs w:val="28"/>
          <w:lang w:val="ru-RU" w:eastAsia="ru-RU"/>
        </w:rPr>
        <w:t>спортивно-массовых мероприятиях.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22. 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рограмма «Развитие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физической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культуры и спорта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Карталинском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муниципальном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районе рассчитана на 2015 -2017  годы». </w:t>
      </w: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3725F9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eastAsia="ru-RU"/>
        </w:rPr>
        <w:t>III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. Показатели (индикаторы) достижения целей и решения задач, основные ожидаемые конечные рез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ультаты </w:t>
      </w:r>
      <w:r w:rsidR="003715F1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рограммы</w:t>
      </w: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23. Для оценки промежуточных и конечных результатов реализации </w:t>
      </w:r>
      <w:r w:rsidR="003715F1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рограммы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будут использованы следующие целевые показатели (индикаторы):</w:t>
      </w:r>
    </w:p>
    <w:p w:rsidR="00FA6D3B" w:rsidRPr="00FA6D3B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r>
        <w:rPr>
          <w:rFonts w:ascii="Times New Roman" w:hAnsi="Times New Roman"/>
          <w:sz w:val="28"/>
          <w:szCs w:val="28"/>
          <w:lang w:val="ru-RU" w:eastAsia="ru-RU"/>
        </w:rPr>
        <w:t>к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оличество участников спортивно-массовых мероприятий: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2015 г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од - 5900 человек; 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2016 г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од - 6000 человек; 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2017 г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од - 6100 человек;</w:t>
      </w:r>
    </w:p>
    <w:p w:rsidR="00FA6D3B" w:rsidRPr="00FA6D3B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оличество учащихся в МКУ ДОД  ДЮСШ «Локомотив»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Карталинско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го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муниципально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го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район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2015 </w:t>
      </w:r>
      <w:r w:rsidR="003725F9" w:rsidRPr="00FA6D3B">
        <w:rPr>
          <w:rFonts w:ascii="Times New Roman" w:hAnsi="Times New Roman"/>
          <w:sz w:val="28"/>
          <w:szCs w:val="28"/>
          <w:lang w:val="ru-RU" w:eastAsia="ru-RU"/>
        </w:rPr>
        <w:t>г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од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 -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225 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человек;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2016 </w:t>
      </w:r>
      <w:r w:rsidR="003725F9" w:rsidRPr="00FA6D3B">
        <w:rPr>
          <w:rFonts w:ascii="Times New Roman" w:hAnsi="Times New Roman"/>
          <w:sz w:val="28"/>
          <w:szCs w:val="28"/>
          <w:lang w:val="ru-RU" w:eastAsia="ru-RU"/>
        </w:rPr>
        <w:t>г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од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 -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245 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человек;</w:t>
      </w:r>
    </w:p>
    <w:p w:rsidR="003725F9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2017 </w:t>
      </w:r>
      <w:r w:rsidR="003725F9" w:rsidRPr="00FA6D3B">
        <w:rPr>
          <w:rFonts w:ascii="Times New Roman" w:hAnsi="Times New Roman"/>
          <w:sz w:val="28"/>
          <w:szCs w:val="28"/>
          <w:lang w:val="ru-RU" w:eastAsia="ru-RU"/>
        </w:rPr>
        <w:t>г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од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 -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260 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человек.</w:t>
      </w:r>
    </w:p>
    <w:p w:rsidR="00FA6D3B" w:rsidRPr="00FA6D3B" w:rsidRDefault="00FA6D3B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24.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В результате реализации мероприятий </w:t>
      </w:r>
      <w:r w:rsidR="003715F1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рограммы планируется к концу 2017 года увеличить: </w:t>
      </w:r>
    </w:p>
    <w:p w:rsidR="00FA6D3B" w:rsidRPr="00FA6D3B" w:rsidRDefault="003725F9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1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долю населения Карталинского муниципального района, систематически занимающегося физическо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й культурой и спортом» до 19,5%;</w:t>
      </w:r>
    </w:p>
    <w:p w:rsidR="00FA6D3B" w:rsidRPr="00FA6D3B" w:rsidRDefault="00771381" w:rsidP="003725F9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2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) количество учащихся в МКУ «ДЮСШ «Локомотив» </w:t>
      </w:r>
      <w:r w:rsidR="003725F9" w:rsidRPr="00FA6D3B">
        <w:rPr>
          <w:rFonts w:ascii="Times New Roman" w:hAnsi="Times New Roman"/>
          <w:sz w:val="28"/>
          <w:szCs w:val="28"/>
          <w:lang w:val="ru-RU" w:eastAsia="ru-RU"/>
        </w:rPr>
        <w:t>Карталинско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го </w:t>
      </w:r>
      <w:r w:rsidR="003725F9" w:rsidRPr="00FA6D3B">
        <w:rPr>
          <w:rFonts w:ascii="Times New Roman" w:hAnsi="Times New Roman"/>
          <w:sz w:val="28"/>
          <w:szCs w:val="28"/>
          <w:lang w:val="ru-RU" w:eastAsia="ru-RU"/>
        </w:rPr>
        <w:t>муниципально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 xml:space="preserve">го </w:t>
      </w:r>
      <w:r w:rsidR="003725F9" w:rsidRPr="00FA6D3B">
        <w:rPr>
          <w:rFonts w:ascii="Times New Roman" w:hAnsi="Times New Roman"/>
          <w:sz w:val="28"/>
          <w:szCs w:val="28"/>
          <w:lang w:val="ru-RU" w:eastAsia="ru-RU"/>
        </w:rPr>
        <w:t>район</w:t>
      </w:r>
      <w:r w:rsidR="003725F9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 до 260 ч</w:t>
      </w:r>
      <w:r>
        <w:rPr>
          <w:rFonts w:ascii="Times New Roman" w:hAnsi="Times New Roman"/>
          <w:sz w:val="28"/>
          <w:szCs w:val="28"/>
          <w:lang w:val="ru-RU" w:eastAsia="ru-RU"/>
        </w:rPr>
        <w:t>еловек».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25. Планируется динамика показателей: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0"/>
        <w:gridCol w:w="1474"/>
        <w:gridCol w:w="1104"/>
        <w:gridCol w:w="1134"/>
        <w:gridCol w:w="1134"/>
      </w:tblGrid>
      <w:tr w:rsidR="00FA6D3B" w:rsidRPr="00771381" w:rsidTr="00771381">
        <w:trPr>
          <w:trHeight w:val="150"/>
        </w:trPr>
        <w:tc>
          <w:tcPr>
            <w:tcW w:w="4510" w:type="dxa"/>
            <w:vMerge w:val="restart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Наименование показателя </w:t>
            </w:r>
          </w:p>
        </w:tc>
        <w:tc>
          <w:tcPr>
            <w:tcW w:w="1474" w:type="dxa"/>
            <w:vMerge w:val="restart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Базовое значение </w:t>
            </w:r>
          </w:p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(2014 год)</w:t>
            </w:r>
          </w:p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3372" w:type="dxa"/>
            <w:gridSpan w:val="3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Значение показателя по годам</w:t>
            </w:r>
          </w:p>
        </w:tc>
      </w:tr>
      <w:tr w:rsidR="00FA6D3B" w:rsidRPr="00771381" w:rsidTr="00771381">
        <w:trPr>
          <w:trHeight w:val="390"/>
        </w:trPr>
        <w:tc>
          <w:tcPr>
            <w:tcW w:w="4510" w:type="dxa"/>
            <w:vMerge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474" w:type="dxa"/>
            <w:vMerge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104" w:type="dxa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</w:t>
            </w:r>
          </w:p>
        </w:tc>
        <w:tc>
          <w:tcPr>
            <w:tcW w:w="1134" w:type="dxa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</w:t>
            </w:r>
          </w:p>
        </w:tc>
        <w:tc>
          <w:tcPr>
            <w:tcW w:w="1134" w:type="dxa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</w:t>
            </w:r>
          </w:p>
        </w:tc>
      </w:tr>
      <w:tr w:rsidR="00FA6D3B" w:rsidRPr="00771381" w:rsidTr="00771381">
        <w:trPr>
          <w:trHeight w:val="544"/>
        </w:trPr>
        <w:tc>
          <w:tcPr>
            <w:tcW w:w="4510" w:type="dxa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Количество участников спортивно-массовых мероприятий</w:t>
            </w:r>
          </w:p>
        </w:tc>
        <w:tc>
          <w:tcPr>
            <w:tcW w:w="1474" w:type="dxa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5600</w:t>
            </w:r>
          </w:p>
        </w:tc>
        <w:tc>
          <w:tcPr>
            <w:tcW w:w="1104" w:type="dxa"/>
          </w:tcPr>
          <w:p w:rsidR="00FA6D3B" w:rsidRPr="00771381" w:rsidRDefault="00771381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5900</w:t>
            </w:r>
          </w:p>
        </w:tc>
        <w:tc>
          <w:tcPr>
            <w:tcW w:w="1134" w:type="dxa"/>
          </w:tcPr>
          <w:p w:rsidR="00FA6D3B" w:rsidRPr="00771381" w:rsidRDefault="00771381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6000</w:t>
            </w:r>
          </w:p>
        </w:tc>
        <w:tc>
          <w:tcPr>
            <w:tcW w:w="1134" w:type="dxa"/>
          </w:tcPr>
          <w:p w:rsidR="00FA6D3B" w:rsidRPr="00771381" w:rsidRDefault="00771381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6100</w:t>
            </w:r>
          </w:p>
        </w:tc>
      </w:tr>
      <w:tr w:rsidR="00FA6D3B" w:rsidRPr="00771381" w:rsidTr="00771381">
        <w:trPr>
          <w:trHeight w:val="544"/>
        </w:trPr>
        <w:tc>
          <w:tcPr>
            <w:tcW w:w="4510" w:type="dxa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Количество учащихся в МКУ ДОД ДЮСШ «Локомотив» </w:t>
            </w:r>
            <w:r w:rsidR="00771381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Карталинско</w:t>
            </w:r>
            <w:r w:rsid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 </w:t>
            </w:r>
            <w:r w:rsidR="00771381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муниципально</w:t>
            </w:r>
            <w:r w:rsid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го </w:t>
            </w:r>
            <w:r w:rsidR="00771381" w:rsidRPr="00FA6D3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район</w:t>
            </w:r>
            <w:r w:rsid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74" w:type="dxa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220 </w:t>
            </w:r>
          </w:p>
        </w:tc>
        <w:tc>
          <w:tcPr>
            <w:tcW w:w="1104" w:type="dxa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225</w:t>
            </w:r>
          </w:p>
        </w:tc>
        <w:tc>
          <w:tcPr>
            <w:tcW w:w="1134" w:type="dxa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245 </w:t>
            </w:r>
          </w:p>
        </w:tc>
        <w:tc>
          <w:tcPr>
            <w:tcW w:w="1134" w:type="dxa"/>
          </w:tcPr>
          <w:p w:rsidR="00FA6D3B" w:rsidRPr="00771381" w:rsidRDefault="00FA6D3B" w:rsidP="00771381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7713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260</w:t>
            </w:r>
          </w:p>
        </w:tc>
      </w:tr>
    </w:tbl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26. Наличие соответствующих современным требованиям спортивных сооружений сможет повысить интерес различных категорий граждан к занятиям физической культурой и спортом, будет способствовать развитию массового спорта, спартакиадного движения, увеличению двигательной активности населения, улучшению физической подготовленности молодежи допризывного возраста. 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lastRenderedPageBreak/>
        <w:t>27. Эффективность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программы  состоит   в  создании  эффективной   системы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профилактики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наркомании, алкоголизма, табакокурения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и  правонарушений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среди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молодёжи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средствами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физической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культуры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и  спорта.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  28. Расходы общества на занятия физической культурой и спортом граждан следует рассматривать как экономически выгодное вложение в развитие человеческого потенциала и улучшение качества жизни граждан. 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71381" w:rsidRDefault="00FA6D3B" w:rsidP="00771381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eastAsia="ru-RU"/>
        </w:rPr>
        <w:t>IV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. Обобщенная характеристика</w:t>
      </w:r>
    </w:p>
    <w:p w:rsidR="00FA6D3B" w:rsidRPr="00FA6D3B" w:rsidRDefault="00FA6D3B" w:rsidP="00771381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меро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приятий </w:t>
      </w:r>
      <w:r w:rsidR="00945FF0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рограммы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29. Перечень мероприятий настоящей </w:t>
      </w:r>
      <w:r w:rsidR="00945FF0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рограммы с указанием финансовых затрат на их реализацию и соответствующи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х сроков приведен в приложении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 к настоящей </w:t>
      </w:r>
      <w:r w:rsidR="00945FF0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рограмме.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30. Исполнителем мероприятий настоящей </w:t>
      </w:r>
      <w:r w:rsidR="00027A6A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рограммы является Муниципальное учреждение Дополнительного образования детей Детско-юношеская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спортивная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школа, Муниципальное казенное  учреждение дополнительного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образования  детей «Детско-юношеская  спортивная  школа «Локомотив» Карталинского  муниципального  района, сельские поселения Карталинского муниципального района, главным распорядителем средств районного бюджета является Управление по делам культуры, спорта и молодежной политики. </w:t>
      </w: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71381" w:rsidRDefault="00FA6D3B" w:rsidP="00771381">
      <w:pPr>
        <w:ind w:firstLine="85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eastAsia="ru-RU"/>
        </w:rPr>
        <w:t>V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FA6D3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Обоснование объема финансовых ресурсов, </w:t>
      </w:r>
    </w:p>
    <w:p w:rsidR="00FA6D3B" w:rsidRPr="00FA6D3B" w:rsidRDefault="00FA6D3B" w:rsidP="00771381">
      <w:pPr>
        <w:ind w:firstLine="85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необходимых для реал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изации </w:t>
      </w:r>
      <w:r w:rsidR="00027A6A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рограммы</w:t>
      </w: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771381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31. Реализация настоящей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614CD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рограммы осуществляется в пределах выделенных бюджетных средств и уточняется исходя из возможности бюджета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(источник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местный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бюджет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A6D3B" w:rsidRPr="00FA6D3B">
        <w:rPr>
          <w:rFonts w:ascii="Times New Roman" w:hAnsi="Times New Roman"/>
          <w:sz w:val="28"/>
          <w:szCs w:val="28"/>
          <w:lang w:val="ru-RU" w:eastAsia="ru-RU"/>
        </w:rPr>
        <w:t>Карталинского муниципального района).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32.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Объем бюджетных ассигнований на финансовое обеспечение реализации </w:t>
      </w:r>
      <w:r w:rsidR="003614CD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рограммы составит всего: 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9267,0 тысяч рублей (местный бюджет)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 в том числе по годам: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2015 год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3089,0 </w:t>
      </w:r>
      <w:r w:rsidR="00771381" w:rsidRPr="00FA6D3B">
        <w:rPr>
          <w:rFonts w:ascii="Times New Roman" w:hAnsi="Times New Roman"/>
          <w:sz w:val="28"/>
          <w:szCs w:val="28"/>
          <w:lang w:val="ru-RU" w:eastAsia="ru-RU"/>
        </w:rPr>
        <w:t>тысяч рублей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2016 год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3089,0 </w:t>
      </w:r>
      <w:r w:rsidR="00771381" w:rsidRPr="00FA6D3B">
        <w:rPr>
          <w:rFonts w:ascii="Times New Roman" w:hAnsi="Times New Roman"/>
          <w:sz w:val="28"/>
          <w:szCs w:val="28"/>
          <w:lang w:val="ru-RU" w:eastAsia="ru-RU"/>
        </w:rPr>
        <w:t>тысяч рублей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2017 год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3089,0 </w:t>
      </w:r>
      <w:r w:rsidR="00771381" w:rsidRPr="00FA6D3B">
        <w:rPr>
          <w:rFonts w:ascii="Times New Roman" w:hAnsi="Times New Roman"/>
          <w:sz w:val="28"/>
          <w:szCs w:val="28"/>
          <w:lang w:val="ru-RU" w:eastAsia="ru-RU"/>
        </w:rPr>
        <w:t>тысяч рублей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71381" w:rsidRDefault="00FA6D3B" w:rsidP="00771381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VI. Организация управления и контроля </w:t>
      </w:r>
    </w:p>
    <w:p w:rsidR="00FA6D3B" w:rsidRPr="00FA6D3B" w:rsidRDefault="00FA6D3B" w:rsidP="00771381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реа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лизации </w:t>
      </w:r>
      <w:r w:rsidR="009514E9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рограммы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33. Управление </w:t>
      </w:r>
      <w:r w:rsidR="009514E9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рограммой – это совокупность скоординированных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действий, реализуемых органами управления различного уровня 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и призванных обеспечить запуск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программы, контроль и ан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ализ хода работ, корректировку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программы в случае необходимости, анализ и оценку конечных результатов реализации. 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34. Управление по делам культуры, спорта и молодежной политики Карталинского муниципального района, как координатор настоящей </w:t>
      </w:r>
      <w:r w:rsidR="00597DB4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рограммы, осуществляет деятельность в соответствии с Порядком принятия решений о разработке муниципальных программ Карталинского муниципального района, их формировании  и реализации, утвержденным постановлением администрации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Карталинского муниципального района  Челябинской области от 24.10.2013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г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>ода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 №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1940.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35.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Контроль за ходом реализации </w:t>
      </w:r>
      <w:r w:rsidR="00597DB4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рограммы осуществляется в части достижения результатов выполнения мероприятий, соблюдения сроков и объемов их финансирования. 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36. Управление </w:t>
      </w:r>
      <w:r w:rsidR="00597DB4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рограммой осуществляется через координацию всех ее исполнителей, мониторинг выполнения мероприятий, анализ динамики показателей и их корректировки в </w:t>
      </w:r>
      <w:r w:rsidR="00597DB4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рограмме.   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37.  Мероприятия </w:t>
      </w:r>
      <w:r w:rsidR="00BA4245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рограммы реализуются в течение всего ее срока. </w:t>
      </w:r>
    </w:p>
    <w:p w:rsidR="00FA6D3B" w:rsidRPr="00FA6D3B" w:rsidRDefault="00FA6D3B" w:rsidP="0077138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A6D3B">
        <w:rPr>
          <w:rFonts w:ascii="Times New Roman" w:hAnsi="Times New Roman"/>
          <w:sz w:val="28"/>
          <w:szCs w:val="28"/>
          <w:lang w:val="ru-RU" w:eastAsia="ru-RU"/>
        </w:rPr>
        <w:t>3</w:t>
      </w:r>
      <w:r w:rsidR="00BA4245">
        <w:rPr>
          <w:rFonts w:ascii="Times New Roman" w:hAnsi="Times New Roman"/>
          <w:sz w:val="28"/>
          <w:szCs w:val="28"/>
          <w:lang w:val="ru-RU" w:eastAsia="ru-RU"/>
        </w:rPr>
        <w:t>8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.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>Контроль за использованием средств местного бюджета Карталинского муниципального района выдел</w:t>
      </w:r>
      <w:r w:rsidR="00771381">
        <w:rPr>
          <w:rFonts w:ascii="Times New Roman" w:hAnsi="Times New Roman"/>
          <w:sz w:val="28"/>
          <w:szCs w:val="28"/>
          <w:lang w:val="ru-RU" w:eastAsia="ru-RU"/>
        </w:rPr>
        <w:t xml:space="preserve">енных на реализацию мероприятий </w:t>
      </w:r>
      <w:r w:rsidR="00BA4245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FA6D3B">
        <w:rPr>
          <w:rFonts w:ascii="Times New Roman" w:hAnsi="Times New Roman"/>
          <w:sz w:val="28"/>
          <w:szCs w:val="28"/>
          <w:lang w:val="ru-RU" w:eastAsia="ru-RU"/>
        </w:rPr>
        <w:t xml:space="preserve">рограммы осуществляет финансовое управление Карталинского  муниципального района. </w:t>
      </w:r>
    </w:p>
    <w:p w:rsidR="00FA6D3B" w:rsidRPr="00FA6D3B" w:rsidRDefault="00FA6D3B" w:rsidP="00FA6D3B">
      <w:pPr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71381" w:rsidRDefault="00771381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71381" w:rsidRDefault="00771381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71381" w:rsidRDefault="00771381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71381" w:rsidRDefault="00771381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71381" w:rsidRDefault="00771381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71381" w:rsidRPr="00FA6D3B" w:rsidRDefault="00771381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FA6D3B" w:rsidRDefault="00FA6D3B" w:rsidP="00FA6D3B">
      <w:pPr>
        <w:jc w:val="both"/>
        <w:rPr>
          <w:rFonts w:ascii="Times New Roman" w:hAnsi="Times New Roman"/>
          <w:b/>
          <w:sz w:val="28"/>
          <w:szCs w:val="28"/>
          <w:lang w:val="ru-RU" w:eastAsia="ru-RU"/>
        </w:rPr>
        <w:sectPr w:rsidR="00FA6D3B" w:rsidRPr="00FA6D3B" w:rsidSect="00FA6D3B">
          <w:footerReference w:type="even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71381" w:rsidRDefault="00296016" w:rsidP="008B311B">
      <w:pPr>
        <w:ind w:left="836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</w:t>
      </w:r>
    </w:p>
    <w:p w:rsidR="00771381" w:rsidRPr="00771381" w:rsidRDefault="00771381" w:rsidP="008B311B">
      <w:pPr>
        <w:ind w:left="8364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к </w:t>
      </w:r>
      <w:r w:rsidRPr="00771381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муниципальной программ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</w:p>
    <w:p w:rsidR="00771381" w:rsidRDefault="00771381" w:rsidP="008B311B">
      <w:pPr>
        <w:ind w:left="836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71381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Pr="00771381">
        <w:rPr>
          <w:rFonts w:ascii="Times New Roman" w:hAnsi="Times New Roman"/>
          <w:sz w:val="28"/>
          <w:szCs w:val="28"/>
          <w:lang w:val="ru-RU" w:eastAsia="ru-RU"/>
        </w:rPr>
        <w:t>Развитие физической культуры</w:t>
      </w:r>
    </w:p>
    <w:p w:rsidR="00771381" w:rsidRDefault="00771381" w:rsidP="008B311B">
      <w:pPr>
        <w:ind w:left="836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71381">
        <w:rPr>
          <w:rFonts w:ascii="Times New Roman" w:hAnsi="Times New Roman"/>
          <w:sz w:val="28"/>
          <w:szCs w:val="28"/>
          <w:lang w:val="ru-RU" w:eastAsia="ru-RU"/>
        </w:rPr>
        <w:t>и спорта в Карталинском муниципальном</w:t>
      </w:r>
    </w:p>
    <w:p w:rsidR="00771381" w:rsidRPr="00771381" w:rsidRDefault="00771381" w:rsidP="008B311B">
      <w:pPr>
        <w:ind w:left="836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71381">
        <w:rPr>
          <w:rFonts w:ascii="Times New Roman" w:hAnsi="Times New Roman"/>
          <w:sz w:val="28"/>
          <w:szCs w:val="28"/>
          <w:lang w:val="ru-RU" w:eastAsia="ru-RU"/>
        </w:rPr>
        <w:t>районе на 2015-2017 годы»</w:t>
      </w:r>
    </w:p>
    <w:p w:rsidR="008B311B" w:rsidRDefault="008B311B" w:rsidP="008B311B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FA6D3B" w:rsidRPr="008B311B" w:rsidRDefault="00FA6D3B" w:rsidP="008B311B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B311B">
        <w:rPr>
          <w:rFonts w:ascii="Times New Roman" w:hAnsi="Times New Roman"/>
          <w:sz w:val="28"/>
          <w:szCs w:val="28"/>
          <w:lang w:val="ru-RU" w:eastAsia="ru-RU"/>
        </w:rPr>
        <w:t>План мероприятий</w:t>
      </w:r>
    </w:p>
    <w:p w:rsidR="008B311B" w:rsidRPr="0015432E" w:rsidRDefault="00FA6D3B" w:rsidP="008B311B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B311B">
        <w:rPr>
          <w:rFonts w:ascii="Times New Roman" w:hAnsi="Times New Roman"/>
          <w:sz w:val="28"/>
          <w:szCs w:val="28"/>
          <w:lang w:val="ru-RU" w:eastAsia="ru-RU"/>
        </w:rPr>
        <w:t>по реализации муниципальной программы «Развитие физической культуры и  спорта в Карталинском муниципальном районе на 2015- 2017 годы»</w:t>
      </w:r>
    </w:p>
    <w:p w:rsidR="008B311B" w:rsidRPr="0015432E" w:rsidRDefault="008B311B" w:rsidP="008B311B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1570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2350"/>
        <w:gridCol w:w="1794"/>
        <w:gridCol w:w="1122"/>
        <w:gridCol w:w="931"/>
        <w:gridCol w:w="1126"/>
        <w:gridCol w:w="1304"/>
        <w:gridCol w:w="1157"/>
        <w:gridCol w:w="2395"/>
        <w:gridCol w:w="1876"/>
        <w:gridCol w:w="935"/>
      </w:tblGrid>
      <w:tr w:rsidR="00FA6D3B" w:rsidRPr="0015432E" w:rsidTr="008B311B">
        <w:trPr>
          <w:trHeight w:val="72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Срок проведения мероприятия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Планируемые объёмы финансирования,</w:t>
            </w:r>
          </w:p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(тыс. рублей)</w:t>
            </w:r>
          </w:p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Статья эконом. Классификации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Главный распорядитель средств районного бюджета, распорядитель средств районного бюджета, получатель средств районного бюджета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Целевое назначение </w:t>
            </w:r>
          </w:p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(раздел,</w:t>
            </w:r>
          </w:p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подраздел согласно функциональному классификатору)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Примечание</w:t>
            </w:r>
          </w:p>
        </w:tc>
      </w:tr>
      <w:tr w:rsidR="00FA6D3B" w:rsidRPr="00685271" w:rsidTr="008B311B">
        <w:trPr>
          <w:trHeight w:val="89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 источникам</w:t>
            </w:r>
          </w:p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финансирования </w:t>
            </w:r>
          </w:p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(местный бюджет)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  <w:tr w:rsidR="00FA6D3B" w:rsidRPr="0015432E" w:rsidTr="008B311B">
        <w:trPr>
          <w:trHeight w:val="355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</w:t>
            </w:r>
          </w:p>
        </w:tc>
      </w:tr>
      <w:tr w:rsidR="00FA6D3B" w:rsidRPr="0015432E" w:rsidTr="008B311B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8B311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8B311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  <w:tr w:rsidR="00FA6D3B" w:rsidRPr="0015432E" w:rsidTr="008B311B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D01883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Проведение спортивно-массовых и  физкультурно-оздоровительных мероприятий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4875,6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1625,2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1625,2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1625,2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УДКСМ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  <w:tr w:rsidR="00FA6D3B" w:rsidRPr="0015432E" w:rsidTr="008B311B">
        <w:trPr>
          <w:cantSplit/>
          <w:trHeight w:val="101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Предоставление услуг дополнительного образования детей в «ДЮСШ «Локомотив» Карталинского муниципального района.</w:t>
            </w:r>
          </w:p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Организация работы по подготовке к участию в областных </w:t>
            </w:r>
            <w:r w:rsid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 всероссийских соревнованиях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1766,4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588,8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588,8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588,8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УДКСМ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  <w:tr w:rsidR="00FA6D3B" w:rsidRPr="0015432E" w:rsidTr="008B311B">
        <w:trPr>
          <w:cantSplit/>
          <w:trHeight w:val="101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Спартакиада сельских поселений Карталинского муниципального района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2625,0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875,0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875,0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875,0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УДКСМ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  <w:tr w:rsidR="00FA6D3B" w:rsidRPr="0015432E" w:rsidTr="008B311B">
        <w:trPr>
          <w:cantSplit/>
          <w:trHeight w:val="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9267,0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3089,0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3089,0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  <w:r w:rsidRPr="0015432E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3089,0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3B" w:rsidRPr="0015432E" w:rsidRDefault="00FA6D3B" w:rsidP="008B311B">
            <w:pPr>
              <w:rPr>
                <w:rFonts w:ascii="Times New Roman" w:hAnsi="Times New Roman"/>
                <w:szCs w:val="28"/>
                <w:lang w:val="ru-RU" w:eastAsia="ru-RU"/>
              </w:rPr>
            </w:pPr>
          </w:p>
        </w:tc>
      </w:tr>
    </w:tbl>
    <w:p w:rsidR="00FA6D3B" w:rsidRPr="0015432E" w:rsidRDefault="00FA6D3B" w:rsidP="00D01883">
      <w:pPr>
        <w:rPr>
          <w:rFonts w:ascii="Times New Roman" w:hAnsi="Times New Roman"/>
          <w:sz w:val="28"/>
          <w:szCs w:val="28"/>
          <w:lang w:val="ru-RU" w:eastAsia="ru-RU"/>
        </w:rPr>
      </w:pPr>
    </w:p>
    <w:sectPr w:rsidR="00FA6D3B" w:rsidRPr="0015432E" w:rsidSect="008060BA">
      <w:footerReference w:type="even" r:id="rId8"/>
      <w:footerReference w:type="default" r:id="rId9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64" w:rsidRDefault="00C11C64" w:rsidP="00FA6D3B">
      <w:r>
        <w:separator/>
      </w:r>
    </w:p>
  </w:endnote>
  <w:endnote w:type="continuationSeparator" w:id="0">
    <w:p w:rsidR="00C11C64" w:rsidRDefault="00C11C64" w:rsidP="00FA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81" w:rsidRDefault="00BD420F" w:rsidP="00FA6D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1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381" w:rsidRDefault="007713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81" w:rsidRDefault="00BD420F" w:rsidP="00FA6D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13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1381">
      <w:rPr>
        <w:rStyle w:val="a5"/>
        <w:noProof/>
      </w:rPr>
      <w:t>1</w:t>
    </w:r>
    <w:r>
      <w:rPr>
        <w:rStyle w:val="a5"/>
      </w:rPr>
      <w:fldChar w:fldCharType="end"/>
    </w:r>
  </w:p>
  <w:p w:rsidR="00771381" w:rsidRDefault="0077138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81" w:rsidRDefault="007713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64" w:rsidRDefault="00C11C64" w:rsidP="00FA6D3B">
      <w:r>
        <w:separator/>
      </w:r>
    </w:p>
  </w:footnote>
  <w:footnote w:type="continuationSeparator" w:id="0">
    <w:p w:rsidR="00C11C64" w:rsidRDefault="00C11C64" w:rsidP="00FA6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65E0"/>
    <w:multiLevelType w:val="hybridMultilevel"/>
    <w:tmpl w:val="B6324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F9D"/>
    <w:rsid w:val="00027A6A"/>
    <w:rsid w:val="000316E5"/>
    <w:rsid w:val="000A185B"/>
    <w:rsid w:val="000D4F78"/>
    <w:rsid w:val="000F7403"/>
    <w:rsid w:val="0015432E"/>
    <w:rsid w:val="001740BC"/>
    <w:rsid w:val="00207EC2"/>
    <w:rsid w:val="00251BDF"/>
    <w:rsid w:val="002917A1"/>
    <w:rsid w:val="00296016"/>
    <w:rsid w:val="003457EB"/>
    <w:rsid w:val="003614CD"/>
    <w:rsid w:val="003715F1"/>
    <w:rsid w:val="003725F9"/>
    <w:rsid w:val="003815DC"/>
    <w:rsid w:val="00384720"/>
    <w:rsid w:val="003E6F13"/>
    <w:rsid w:val="003F62CB"/>
    <w:rsid w:val="00413904"/>
    <w:rsid w:val="00437024"/>
    <w:rsid w:val="00556672"/>
    <w:rsid w:val="00597DB4"/>
    <w:rsid w:val="005B2EB7"/>
    <w:rsid w:val="00663359"/>
    <w:rsid w:val="00685271"/>
    <w:rsid w:val="006958FF"/>
    <w:rsid w:val="006C6363"/>
    <w:rsid w:val="00702B99"/>
    <w:rsid w:val="007106E0"/>
    <w:rsid w:val="007108AC"/>
    <w:rsid w:val="0071308D"/>
    <w:rsid w:val="00771381"/>
    <w:rsid w:val="007D186D"/>
    <w:rsid w:val="007D3545"/>
    <w:rsid w:val="008060BA"/>
    <w:rsid w:val="00833D4C"/>
    <w:rsid w:val="008B311B"/>
    <w:rsid w:val="00932391"/>
    <w:rsid w:val="00945FF0"/>
    <w:rsid w:val="009514E9"/>
    <w:rsid w:val="00A24697"/>
    <w:rsid w:val="00AB3202"/>
    <w:rsid w:val="00B37BA7"/>
    <w:rsid w:val="00B51244"/>
    <w:rsid w:val="00B703B8"/>
    <w:rsid w:val="00BA4245"/>
    <w:rsid w:val="00BD2485"/>
    <w:rsid w:val="00BD420F"/>
    <w:rsid w:val="00C11C64"/>
    <w:rsid w:val="00C3553C"/>
    <w:rsid w:val="00C35DC0"/>
    <w:rsid w:val="00C8213C"/>
    <w:rsid w:val="00CC1336"/>
    <w:rsid w:val="00CE11AA"/>
    <w:rsid w:val="00D01883"/>
    <w:rsid w:val="00D63F9D"/>
    <w:rsid w:val="00DD27B3"/>
    <w:rsid w:val="00E9397B"/>
    <w:rsid w:val="00ED515B"/>
    <w:rsid w:val="00EE76A6"/>
    <w:rsid w:val="00FA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9D"/>
    <w:pPr>
      <w:jc w:val="left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6">
    <w:name w:val="heading 6"/>
    <w:basedOn w:val="a"/>
    <w:next w:val="a"/>
    <w:link w:val="60"/>
    <w:qFormat/>
    <w:rsid w:val="00FA6D3B"/>
    <w:pPr>
      <w:tabs>
        <w:tab w:val="num" w:pos="0"/>
      </w:tabs>
      <w:suppressAutoHyphens/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A6D3B"/>
    <w:rPr>
      <w:rFonts w:eastAsia="Times New Roman" w:cs="Times New Roman"/>
      <w:b/>
      <w:bCs/>
      <w:sz w:val="22"/>
      <w:lang w:eastAsia="ar-SA"/>
    </w:rPr>
  </w:style>
  <w:style w:type="paragraph" w:styleId="a3">
    <w:name w:val="footer"/>
    <w:basedOn w:val="a"/>
    <w:link w:val="a4"/>
    <w:rsid w:val="00FA6D3B"/>
    <w:pPr>
      <w:tabs>
        <w:tab w:val="center" w:pos="4677"/>
        <w:tab w:val="right" w:pos="9355"/>
      </w:tabs>
    </w:pPr>
    <w:rPr>
      <w:rFonts w:ascii="Times New Roman" w:hAnsi="Times New Roman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FA6D3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6D3B"/>
  </w:style>
  <w:style w:type="paragraph" w:styleId="a6">
    <w:name w:val="header"/>
    <w:basedOn w:val="a"/>
    <w:link w:val="a7"/>
    <w:rsid w:val="00FA6D3B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val="ru-RU" w:eastAsia="ar-SA"/>
    </w:rPr>
  </w:style>
  <w:style w:type="character" w:customStyle="1" w:styleId="a7">
    <w:name w:val="Верхний колонтитул Знак"/>
    <w:basedOn w:val="a0"/>
    <w:link w:val="a6"/>
    <w:rsid w:val="00FA6D3B"/>
    <w:rPr>
      <w:rFonts w:eastAsia="Times New Roman" w:cs="Times New Roman"/>
      <w:sz w:val="20"/>
      <w:szCs w:val="20"/>
      <w:lang w:eastAsia="ar-SA"/>
    </w:rPr>
  </w:style>
  <w:style w:type="paragraph" w:styleId="a8">
    <w:name w:val="List Paragraph"/>
    <w:basedOn w:val="a"/>
    <w:qFormat/>
    <w:rsid w:val="00FA6D3B"/>
    <w:pPr>
      <w:ind w:left="720" w:firstLine="360"/>
      <w:contextualSpacing/>
    </w:pPr>
    <w:rPr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2014-12-10T06:22:00Z</dcterms:created>
  <dcterms:modified xsi:type="dcterms:W3CDTF">2014-12-18T08:00:00Z</dcterms:modified>
</cp:coreProperties>
</file>