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0" w:rsidRDefault="008443B0" w:rsidP="008443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Крупные компании</w:t>
      </w:r>
    </w:p>
    <w:p w:rsidR="00FB5FA9" w:rsidRDefault="00FB5FA9" w:rsidP="008443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8443B0">
        <w:rPr>
          <w:rFonts w:ascii="Times New Roman" w:eastAsia="Times New Roman" w:hAnsi="Times New Roman" w:cs="Times New Roman"/>
          <w:b/>
          <w:sz w:val="28"/>
          <w:szCs w:val="24"/>
        </w:rPr>
        <w:t>привлекают малый и средний бизнес к сотрудничеству</w:t>
      </w:r>
    </w:p>
    <w:p w:rsidR="008443B0" w:rsidRPr="008443B0" w:rsidRDefault="008443B0" w:rsidP="008443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С 1 июля 2015 года доля малого и среднего бизнеса в совокупном объеме закупок госкомпаний должна быть не менее 18%. Это определено постановлением правительства РФ от 11 декабря прошлого года. </w:t>
      </w:r>
    </w:p>
    <w:p w:rsidR="00FB5FA9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В утвержденном в начале этого года распоряжением Правительства России плане первоочередных мероприятий по обеспечению устойчивого развития экономики и социальной стабильности в 2015 году среди ключевых направлений действий на первых местах стоят поддержка 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 и экспорта по широкой номенклатуре 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несырьевых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высокотехнологичных, товаров и содействие развитию малого и среднего предпринимательства (МСП) за счет снижения финансовых и административных издержек. </w:t>
      </w:r>
      <w:proofErr w:type="gramEnd"/>
    </w:p>
    <w:p w:rsidR="0006206A" w:rsidRPr="0006206A" w:rsidRDefault="0006206A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b/>
          <w:bCs/>
          <w:sz w:val="24"/>
          <w:szCs w:val="24"/>
        </w:rPr>
        <w:t>Про бумаги и овраги</w:t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(дорожная карта) "Расширение доступа субъектов малого и среднего предпринимательства к закупкам инфраструктурных монополий и компаний с государственным участием", утвержденный распоряжением Правительства РФ от 29 мая 2013 года, предписывает 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госмонополиям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партнерские программы с малыми и средними предприятиями, предусматривающие прозрачные критерии аккредитации МСП в качестве поставщиков и подрядчиков.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Предлагаемое малым бизнесом инновационное решение должно быть готово для использования и внедрения </w:t>
      </w:r>
    </w:p>
    <w:p w:rsidR="0006206A" w:rsidRPr="008443B0" w:rsidRDefault="008443B0" w:rsidP="000620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FB5FA9" w:rsidRPr="008443B0" w:rsidRDefault="0006206A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b/>
          <w:bCs/>
          <w:sz w:val="24"/>
          <w:szCs w:val="24"/>
        </w:rPr>
        <w:t>Три кита конкуренции</w:t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Несомненно, "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" заинтересована в приобретении и эффективном внедрении новых технологий, оборудования, материалов, которые позволяют снизить затраты, повысить производительность труда, надежность и безопасность производственных процессов. Если же говорить о закупочной деятельности компании среди субъектов МСП, то на одно из первых мест выходит проблема создания между ними конкурентной среды. Держится она на трех китах: это совещательный орган, система одного окна и программа партнерства. Все они довольно органично дополняют друг друга и так или иначе направлены на повышение прозрачности закупочных процедур, снятие информационных барьеров, формирование устойчивых партнерских отношений. Все эти элементы в "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Транснефти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" созданы.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Совещательный орган при компании отвечает за общественный аудит эффективности проводимых закупок. Основные его цели - повышение эффективности использования передовых технологических решений при закупках, обеспечение публичности закупок, создание равных условий для обеспечения конкуренции среди участников.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В совещательный орган вошли представители МСП, Союза потребителей РФ, региональных администраций, экспертных органов Торгово-промышленной палаты, Российского государственного университета нефти и газа им. И.М. Губкина и иных организаций. Введение в компании общественного аудита позволит создать широкую сеть </w:t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надежных, квалифицированных и ответственных поставщиков продукции из числа субъектов МСП.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Еще одна важная функция совещательного органа - это обеспечение обратной связи. "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" и предприниматели получат доступ на такие площадки, как Общественная палата РФ, Торгово-промышленная палата, могут донести свое видение ситуации на уровень не только компаний или, например, региональных администраций, но и представителей территориальных подразделений минэкономразвития, 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минэнерго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, ФАС России. </w:t>
      </w:r>
    </w:p>
    <w:p w:rsidR="0006206A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При этом субъектам МСП необходимо учитывать, что предлагаемое ими инновационное решение должно быть готово для использования и внедрения. Предложения, требующие доработки, в системе одного окна не рассматриваются. Положение о порядке и правилах внедрения инновационных решений размещено на официальном сайте ОАО "АК "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". Контроль эффективности работы одного окна осуществляется совещательным органом при соблюдении принципа информационной открытости.</w:t>
      </w:r>
    </w:p>
    <w:p w:rsidR="00FB5FA9" w:rsidRPr="008443B0" w:rsidRDefault="00FB5FA9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 пожаловать в партнеры</w:t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Программа партнерства предполагает активное вовлечение в инновационные разработки представителей МСП. </w:t>
      </w:r>
      <w:proofErr w:type="gram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" будет осуществлять организационную поддержку, включая проведение совместных конференций и информационных семинаров, организацию обучения специалистов, распространение информации о номенклатуре текущих и перспективных технологических потребностей, планируемых объемах закупок на краткосрочный и долгосрочный периоды. </w:t>
      </w:r>
      <w:proofErr w:type="gramEnd"/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Комплекс этих мер взаимодействия компании с представителями МСП повысит возможность использования передовых технологических решений, позволит сократить административные, финансовые и информационные барьеры при закупках компании. </w:t>
      </w:r>
    </w:p>
    <w:p w:rsidR="00FB5FA9" w:rsidRPr="008443B0" w:rsidRDefault="008443B0" w:rsidP="0084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Важно отметить, что программа партнерства - это улица с двусторонним движением. Сокращены, упрощены и четко определены сроки процедур. Увеличена до 20% доля лотов на закупку инновационной продукции. И главное - снижены до 10% требования к обеспечению договора. При этом обязательный авансовый платеж со стороны "</w:t>
      </w:r>
      <w:proofErr w:type="spellStart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>Транснефти</w:t>
      </w:r>
      <w:proofErr w:type="spellEnd"/>
      <w:r w:rsidR="00FB5FA9" w:rsidRPr="008443B0">
        <w:rPr>
          <w:rFonts w:ascii="Times New Roman" w:eastAsia="Times New Roman" w:hAnsi="Times New Roman" w:cs="Times New Roman"/>
          <w:sz w:val="24"/>
          <w:szCs w:val="24"/>
        </w:rPr>
        <w:t xml:space="preserve">" составляет не менее 30%. Это в условиях дефицита и дорогих финансовых ресурсов беспрецедентный шаг навстречу малому и среднему бизнесу. </w:t>
      </w:r>
    </w:p>
    <w:p w:rsidR="00E06F48" w:rsidRPr="008443B0" w:rsidRDefault="00E06F48" w:rsidP="008443B0">
      <w:pPr>
        <w:spacing w:after="0"/>
        <w:jc w:val="both"/>
        <w:rPr>
          <w:rFonts w:ascii="Times New Roman" w:hAnsi="Times New Roman" w:cs="Times New Roman"/>
        </w:rPr>
      </w:pPr>
    </w:p>
    <w:sectPr w:rsidR="00E06F48" w:rsidRPr="008443B0" w:rsidSect="00F0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A9"/>
    <w:rsid w:val="0006206A"/>
    <w:rsid w:val="008443B0"/>
    <w:rsid w:val="00E06F48"/>
    <w:rsid w:val="00F04D0A"/>
    <w:rsid w:val="00FB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FB5FA9"/>
  </w:style>
  <w:style w:type="paragraph" w:styleId="a3">
    <w:name w:val="Normal (Web)"/>
    <w:basedOn w:val="a"/>
    <w:uiPriority w:val="99"/>
    <w:semiHidden/>
    <w:unhideWhenUsed/>
    <w:rsid w:val="00FB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2015-07-02T05:05:00Z</dcterms:created>
  <dcterms:modified xsi:type="dcterms:W3CDTF">2015-07-02T05:18:00Z</dcterms:modified>
</cp:coreProperties>
</file>