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20" w:leader="none"/>
        </w:tabs>
        <w:spacing w:lineRule="auto" w:line="360"/>
        <w:jc w:val="center"/>
        <w:rPr/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 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mc:AlternateContent>
          <mc:Choice Requires="wps">
            <w:drawing>
              <wp:anchor behindDoc="0" distT="28575" distB="28575" distL="36830" distR="29845" simplePos="0" locked="0" layoutInCell="1" allowOverlap="1" relativeHeight="3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635"/>
                <wp:effectExtent l="29210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4pt,9pt" to="463.35pt,9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 заседание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«05» декабря 2025г.  № 87</w:t>
      </w:r>
    </w:p>
    <w:p>
      <w:pPr>
        <w:pStyle w:val="Normal"/>
        <w:ind w:right="-5"/>
        <w:jc w:val="both"/>
        <w:rPr/>
      </w:pPr>
      <w:r>
        <w:rPr/>
      </w:r>
    </w:p>
    <w:p>
      <w:pPr>
        <w:pStyle w:val="Normal"/>
        <w:ind w:right="-5"/>
        <w:jc w:val="both"/>
        <w:rPr/>
      </w:pPr>
      <w:r>
        <w:rPr/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10"/>
        <w:gridCol w:w="3943"/>
      </w:tblGrid>
      <w:tr>
        <w:trPr/>
        <w:tc>
          <w:tcPr>
            <w:tcW w:w="541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и муниципальных  служащих органов местного самоуправления Кунашакского муниципального округа Челябинской области</w:t>
            </w:r>
          </w:p>
        </w:tc>
        <w:tc>
          <w:tcPr>
            <w:tcW w:w="3943" w:type="dxa"/>
            <w:tcBorders/>
            <w:shd w:color="auto" w:fill="auto" w:val="clear"/>
          </w:tcPr>
          <w:p>
            <w:pPr>
              <w:pStyle w:val="Normal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Трудовым </w:t>
      </w:r>
      <w:hyperlink r:id="rId3">
        <w:r>
          <w:rPr>
            <w:rStyle w:val="Style9"/>
            <w:color w:val="000000"/>
            <w:sz w:val="28"/>
            <w:szCs w:val="28"/>
          </w:rPr>
          <w:t>кодексом</w:t>
        </w:r>
      </w:hyperlink>
      <w:r>
        <w:rPr>
          <w:color w:val="000000"/>
          <w:sz w:val="28"/>
          <w:szCs w:val="28"/>
        </w:rPr>
        <w:t xml:space="preserve"> Российской Федерации, Федеральным </w:t>
      </w:r>
      <w:hyperlink r:id="rId4">
        <w:r>
          <w:rPr>
            <w:rStyle w:val="Style9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6 октября 2003 года № 131</w:t>
        <w:noBreakHyphen/>
        <w:t xml:space="preserve">ФЗ (ред. от 13.12.2024) </w:t>
      </w:r>
      <w:r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eastAsia="Lucida Sans Unicode" w:cs="Tahoma"/>
          <w:kern w:val="2"/>
          <w:sz w:val="28"/>
          <w:szCs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 </w:t>
      </w:r>
      <w:r>
        <w:rPr>
          <w:color w:val="000000"/>
          <w:sz w:val="28"/>
          <w:szCs w:val="28"/>
        </w:rPr>
        <w:t xml:space="preserve">Федеральным </w:t>
      </w:r>
      <w:hyperlink r:id="rId5">
        <w:r>
          <w:rPr>
            <w:rStyle w:val="Style9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 марта 2007 года № 25</w:t>
        <w:noBreakHyphen/>
        <w:t xml:space="preserve">ФЗ (ред. от 30.09.2024) </w:t>
      </w:r>
      <w:r>
        <w:rPr>
          <w:color w:val="000000"/>
          <w:sz w:val="28"/>
          <w:szCs w:val="28"/>
        </w:rPr>
        <w:t>«О муниципальной службе в Российской Федерации»</w:t>
      </w:r>
      <w:r>
        <w:rPr>
          <w:sz w:val="28"/>
          <w:szCs w:val="28"/>
        </w:rPr>
        <w:t xml:space="preserve">, 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Законом Челябинской области от 30 мая 2007 года </w:t>
      </w:r>
      <w:hyperlink r:id="rId6">
        <w:r>
          <w:rPr>
            <w:rStyle w:val="Style9"/>
            <w:sz w:val="28"/>
            <w:szCs w:val="28"/>
          </w:rPr>
          <w:t>№ 144-ЗО</w:t>
        </w:r>
      </w:hyperlink>
      <w:r>
        <w:rPr>
          <w:sz w:val="28"/>
          <w:szCs w:val="28"/>
        </w:rPr>
        <w:t xml:space="preserve"> (ред. от 02.11.2024) «О регулировании муниципальной службы в Челябинской области», Законом Челябинской области от 27 марта 2008 года </w:t>
      </w:r>
      <w:hyperlink r:id="rId7">
        <w:r>
          <w:rPr>
            <w:rStyle w:val="Style9"/>
            <w:sz w:val="28"/>
            <w:szCs w:val="28"/>
          </w:rPr>
          <w:t>№ 245-ЗО</w:t>
        </w:r>
      </w:hyperlink>
      <w:r>
        <w:rPr>
          <w:sz w:val="28"/>
          <w:szCs w:val="28"/>
        </w:rPr>
        <w:t xml:space="preserve"> (ред.03.02.2025)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</w:t>
      </w:r>
      <w:r>
        <w:rPr>
          <w:color w:val="000000"/>
          <w:sz w:val="28"/>
          <w:szCs w:val="28"/>
        </w:rPr>
        <w:t>Уставом Кунашакского муниципального округа, Собрание депутатов Кунашакского муниципального округа</w:t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  <w:tab/>
      </w:r>
    </w:p>
    <w:p>
      <w:pPr>
        <w:pStyle w:val="Normal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Положение об оплате труда </w:t>
      </w:r>
      <w:r>
        <w:rPr>
          <w:sz w:val="28"/>
          <w:szCs w:val="28"/>
        </w:rPr>
        <w:t>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округа Челябинской области и порядке формирования фонда оплаты труда указанных лиц, согласно приложению 1 к настоящему решению.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>
        <w:rPr>
          <w:bCs/>
          <w:sz w:val="28"/>
          <w:szCs w:val="28"/>
        </w:rPr>
        <w:t xml:space="preserve">Положение об оплате труда </w:t>
      </w:r>
      <w:r>
        <w:rPr>
          <w:sz w:val="28"/>
          <w:szCs w:val="28"/>
        </w:rPr>
        <w:t>муниципальных служащих органов местного самоуправления Кунашакского муниципального округа Челябинской области и порядке формирования фонда оплаты труда указанных лиц, согласно приложению 2 к настоящему решению.</w:t>
      </w:r>
    </w:p>
    <w:p>
      <w:pPr>
        <w:pStyle w:val="ConsPlusNormal"/>
        <w:ind w:firstLine="708" w:right="-6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3.Признать утратившим силу решение Собрания депутатов Кунашакского муниципального района от 25.03.2025 № 26 «</w:t>
      </w:r>
      <w:r>
        <w:rPr>
          <w:rStyle w:val="FontStyle15"/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района и муниципальных служащих органов местного самоуправления Кунашакского муниципального района Челябинской области</w:t>
      </w:r>
      <w:r>
        <w:rPr>
          <w:bCs/>
          <w:sz w:val="28"/>
          <w:szCs w:val="28"/>
        </w:rPr>
        <w:t xml:space="preserve">. </w:t>
      </w:r>
    </w:p>
    <w:p>
      <w:pPr>
        <w:pStyle w:val="Normal"/>
        <w:widowControl w:val="fals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Организацию исполнения настоящего постановления возложить на заместителя Главы округа по финансовым вопросам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руководителя Финансового управления администрации округа.</w:t>
      </w:r>
    </w:p>
    <w:p>
      <w:pPr>
        <w:pStyle w:val="Normal"/>
        <w:widowControl w:val="fals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данного решения поручить постоянной комиссии по бюджету, налогам и предпринимательству.</w:t>
      </w:r>
    </w:p>
    <w:p>
      <w:pPr>
        <w:pStyle w:val="Normal"/>
        <w:widowControl w:val="fals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решение вступает в силу со дня подписания. </w:t>
      </w:r>
    </w:p>
    <w:p>
      <w:pPr>
        <w:pStyle w:val="Normal"/>
        <w:widowControl w:val="false"/>
        <w:spacing w:lineRule="auto" w:line="360"/>
        <w:ind w:firstLine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widowControl w:val="false"/>
        <w:spacing w:lineRule="auto" w:line="360"/>
        <w:ind w:firstLine="36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депутатов               </w:t>
        <w:tab/>
        <w:tab/>
        <w:tab/>
        <w:tab/>
        <w:t xml:space="preserve">                            Н.В. Гусева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851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lineRule="auto" w:line="240" w:before="0" w:after="20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52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5" w:customStyle="1">
    <w:name w:val="Font Style15"/>
    <w:qFormat/>
    <w:rsid w:val="00fd052b"/>
    <w:rPr>
      <w:rFonts w:ascii="Times New Roman" w:hAnsi="Times New Roman" w:cs="Times New Roman"/>
      <w:sz w:val="26"/>
      <w:szCs w:val="26"/>
    </w:rPr>
  </w:style>
  <w:style w:type="character" w:styleId="Style14" w:customStyle="1">
    <w:name w:val="Верхний колонтитул Знак"/>
    <w:basedOn w:val="DefaultParagraphFont"/>
    <w:qFormat/>
    <w:rsid w:val="00fd052b"/>
    <w:rPr>
      <w:rFonts w:ascii="Calibri" w:hAnsi="Calibri" w:eastAsia="Times New Roman" w:cs="Times New Roman"/>
      <w:lang w:val="x-none" w:eastAsia="x-non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fd052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qFormat/>
    <w:rsid w:val="00fd052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fd052b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/>
      <w:sz w:val="22"/>
      <w:szCs w:val="22"/>
      <w:lang w:val="x-none" w:eastAsia="x-none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4b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46E6C90DAFB2009846BB01BB34B85ACA1BCF4D6C3E4D5E88D5D5ADD07g8JED" TargetMode="External"/><Relationship Id="rId4" Type="http://schemas.openxmlformats.org/officeDocument/2006/relationships/hyperlink" Target="consultantplus://offline/ref=846E6C90DAFB2009846BB01BB34B85ACA1BCF4D2C2E4D5E88D5D5ADD07g8JED" TargetMode="External"/><Relationship Id="rId5" Type="http://schemas.openxmlformats.org/officeDocument/2006/relationships/hyperlink" Target="consultantplus://offline/ref=846E6C90DAFB2009846BB01BB34B85ACA1BCF4D2C2E9D5E88D5D5ADD07g8JED" TargetMode="External"/><Relationship Id="rId6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7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LibreOffice/25.2.3.2$Linux_X86_64 LibreOffice_project/520$Build-2</Application>
  <AppVersion>15.0000</AppVersion>
  <Pages>2</Pages>
  <Words>350</Words>
  <Characters>2573</Characters>
  <CharactersWithSpaces>2961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2025-12-09T10:34:00Z</dcterms:created>
  <dc:creator>1</dc:creator>
  <dc:description/>
  <dc:language>ru-RU</dc:language>
  <cp:lastModifiedBy/>
  <dcterms:modified xsi:type="dcterms:W3CDTF">2025-12-15T16:02:59Z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