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Cs/>
          <w:sz w:val="28"/>
          <w:szCs w:val="28"/>
        </w:rPr>
      </w:pPr>
      <w:bookmarkStart w:id="0" w:name="__DdeLink__394_990580739"/>
      <w:bookmarkStart w:id="1" w:name="_GoBack"/>
      <w:bookmarkEnd w:id="0"/>
      <w:bookmarkEnd w:id="1"/>
      <w:r>
        <w:rPr>
          <w:rFonts w:cs="Times New Roman" w:ascii="Times New Roman" w:hAnsi="Times New Roman"/>
          <w:b/>
          <w:iCs/>
          <w:sz w:val="28"/>
          <w:szCs w:val="28"/>
        </w:rPr>
        <w:t>Кадастровая палата разъяснила, какие данные о недвижимости не будут общедоступны в онлайн-режиме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С 2017 года выписка из Единого государственного реестра недвижимости (ЕГРН) – </w:t>
      </w:r>
      <w:r>
        <w:rPr>
          <w:rFonts w:cs="Times New Roman" w:ascii="Times New Roman" w:hAnsi="Times New Roman"/>
          <w:bCs/>
          <w:sz w:val="28"/>
          <w:szCs w:val="28"/>
        </w:rPr>
        <w:t>единственный документ, подтверждающий право собственности на объект недвижимости.</w:t>
      </w:r>
      <w:r>
        <w:rPr>
          <w:rFonts w:cs="Times New Roman" w:ascii="Times New Roman" w:hAnsi="Times New Roman"/>
          <w:sz w:val="28"/>
          <w:szCs w:val="28"/>
        </w:rPr>
        <w:t xml:space="preserve">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если они касаются объектов недвижимого имущества.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 — это закреплено Законом "О государственной регистрации недвижимости".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 есть и сведения ограниченного доступа, например, о содержании правоустанавливающих документов, о правах отдельного лица на принадлежащие ему объекты. По закону информацию о всех объектах недвижимости, принадлежащих какому-то конкретному лицу, могут получить только собственники и их доверенные лица, а также по запросам органов исполнительной власти различных уровней, судов, нотариусов, кредитных организаций, т.е. только лиц, которые прямо поименованы в Законе о регистрации недвижимости, и только в рамках непосредственной работы с объектами или его собственником в связке с конкретными делами.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Как подчеркивают эксперты, владелец недвижимости также может запросить справку о лицах, интересовавшихся его собственностью.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Важно отметить, что в рамках выдачи общедоступной информации у третьих лиц не окажутся персональные данные собственников.  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Проще говоря, вы можете перед проведением сделки запросить информацию об определенном доме, квартире, земельном участке и удостовериться, что он принадлежит именно этому продавцу, что объект не находится в залоге, под арестом и т.д. Но, если вы не собственник объекта недвижимости, то не можете просто запросить список объектов, которые принадлежат конкретному лицу.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Когда может понадобиться выписка из реестра недвижимости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Чаще всего при проведении различных сделок с недвижимостью рекомендуется запросить </w:t>
      </w:r>
      <w:r>
        <w:rPr>
          <w:rFonts w:cs="Times New Roman" w:ascii="Times New Roman" w:hAnsi="Times New Roman"/>
          <w:b/>
          <w:sz w:val="28"/>
          <w:szCs w:val="28"/>
        </w:rPr>
        <w:t>выписку об основных характеристиках и зарегистрированных правах на объект недвижимост</w:t>
      </w:r>
      <w:r>
        <w:rPr>
          <w:rFonts w:cs="Times New Roman" w:ascii="Times New Roman" w:hAnsi="Times New Roman"/>
          <w:sz w:val="28"/>
          <w:szCs w:val="28"/>
        </w:rPr>
        <w:t xml:space="preserve">и – она относится к общедоступным. Данный тип выписки официально подтверждает, что в реестре недвижимости содержатся сведения о кадастровом учете интересующего объекта недвижимости и зарегистрированных на него правах.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сведений в такой выписке зависит от типа объекта, в отношении которого она была запрошена. Она содержит такие данные, как кадастровый номер объекта и дата его присвоения, адрес, площадь, назначение и так далее; информацию о правообладателях, видах права, номер и дата регистрации, а также наличие ограничений прав или обременений. Помимо этого, такая выписка содержит описание местоположения объектов и план расположения помещений, машино-мест в здании, данные о кадастровой стоимости, характерных точках границ и т.п.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Выписка об основных характеристиках и зарегистрированных правах на объект недвижимости</w:t>
      </w:r>
      <w:r>
        <w:rPr>
          <w:rFonts w:cs="Times New Roman" w:ascii="Times New Roman" w:hAnsi="Times New Roman"/>
          <w:sz w:val="28"/>
          <w:szCs w:val="28"/>
        </w:rPr>
        <w:t xml:space="preserve"> поможет разобраться и с количеством собственников. Объект недвижимости в том числе может находиться в совместной без определения долей собственности (доли предполагаются равными), либо долевой (доли могут быть не равными). При проведении сделок в отношении доли в праве собственности на объект недвижимости необходимо соблюдение правила преимущественной покупки, в соответствии с которым продавец должен предложить выкупить долю своим сособственникам (участникам долевой собственности).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Такую выписку рекомендуется получить как можно ближе к планируемой дате, например, сделки купли-продажи объекта недвижимости, так как принципы ведения ЕГРН подразумевают постоянную актуализацию информации. Получив выписку о характеристиках объекта и зарегистрированных на него правах непосредственно перед совершением сделки, гражданин легко проверит правдивость сведений, получаемых от продавца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>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Выписка о переходе прав</w:t>
      </w:r>
      <w:r>
        <w:rPr>
          <w:rFonts w:cs="Times New Roman" w:ascii="Times New Roman" w:hAnsi="Times New Roman"/>
          <w:sz w:val="28"/>
          <w:szCs w:val="28"/>
        </w:rPr>
        <w:t xml:space="preserve"> также будет полезна при подготовке к сделке. Она содержит информацию не только о текущем владельце, но и о предыдущих – с указанием дат регистрации предыдущих переходов права и документах-основаниях. 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окупателю стоит внимательно отнестись к заинтересовавшему его объекту, если этот объект часто переходил от одного собственника к другому. Например, если каждые месяц-два с ним совершалась сделка и менялся собственник, это может косвенно свидетельствовать о скрытых проблемах, связанных с конкретным объектом недвижимости.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Выписка о переходе прав</w:t>
      </w:r>
      <w:r>
        <w:rPr>
          <w:rFonts w:cs="Times New Roman" w:ascii="Times New Roman" w:hAnsi="Times New Roman"/>
          <w:sz w:val="28"/>
          <w:szCs w:val="28"/>
        </w:rPr>
        <w:t xml:space="preserve"> не включает сведения об ограничениях и обременениях объекта недвижимости; информацию о них можно узнать </w:t>
      </w:r>
      <w:r>
        <w:rPr>
          <w:rFonts w:cs="Times New Roman" w:ascii="Times New Roman" w:hAnsi="Times New Roman"/>
          <w:b/>
          <w:sz w:val="28"/>
          <w:szCs w:val="28"/>
        </w:rPr>
        <w:t>из выписки о характеристиках объекта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Благодаря развитию государственных электронных сервисов по предоставлению различных услуг стало возможно получить выписку из ЕГРН не только в бумажном, но и в электронном виде. «</w:t>
      </w:r>
      <w:r>
        <w:rPr>
          <w:rFonts w:cs="Times New Roman" w:ascii="Times New Roman" w:hAnsi="Times New Roman"/>
          <w:i/>
          <w:sz w:val="28"/>
          <w:szCs w:val="28"/>
        </w:rPr>
        <w:t>Важно помнить, что полученные гражданином выписки будут иметь равную юридическую силу независимо от того, в какой форме были представлены запрошенные им сведения»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uto" w:line="360" w:beforeAutospacing="0" w:before="0" w:afterAutospacing="0" w:after="225"/>
        <w:jc w:val="both"/>
        <w:rPr/>
      </w:pPr>
      <w:r>
        <w:rPr>
          <w:rStyle w:val="Strong"/>
          <w:b w:val="false"/>
          <w:sz w:val="28"/>
          <w:szCs w:val="28"/>
        </w:rPr>
        <w:tab/>
        <w:t xml:space="preserve">Ранее Федеральная кадастровая палата официально </w:t>
      </w:r>
      <w:hyperlink r:id="rId2">
        <w:r>
          <w:rPr>
            <w:rStyle w:val="Style11"/>
            <w:sz w:val="28"/>
            <w:szCs w:val="28"/>
          </w:rPr>
          <w:t>запустила</w:t>
        </w:r>
      </w:hyperlink>
      <w:r>
        <w:rPr>
          <w:rStyle w:val="Strong"/>
          <w:b w:val="false"/>
          <w:sz w:val="28"/>
          <w:szCs w:val="28"/>
        </w:rPr>
        <w:t xml:space="preserve"> сервис по выдаче сведений из Единого государственного реестра недвижимости (ЕГРН). В соответствии с законодательством выдавать сведения об объектах недвижимости ведомство должно в течение трех суток. Сервис </w:t>
      </w:r>
      <w:hyperlink r:id="rId3">
        <w:r>
          <w:rPr>
            <w:rStyle w:val="Style11"/>
            <w:sz w:val="28"/>
          </w:rPr>
          <w:t>https://spv.kadastr.ru/</w:t>
        </w:r>
      </w:hyperlink>
      <w:r>
        <w:rPr>
          <w:sz w:val="28"/>
        </w:rPr>
        <w:t xml:space="preserve"> </w:t>
      </w:r>
      <w:r>
        <w:rPr>
          <w:rStyle w:val="Strong"/>
          <w:b w:val="false"/>
          <w:sz w:val="28"/>
          <w:szCs w:val="28"/>
        </w:rPr>
        <w:t xml:space="preserve">позволил сократить время выдачи сведений до нескольких минут.  </w:t>
      </w:r>
      <w:r>
        <w:rPr>
          <w:sz w:val="28"/>
          <w:szCs w:val="28"/>
        </w:rPr>
        <w:t>В пилотном режиме сервис заработал для объектов недвижимости 51 региона, которые переведены на ФГИС ЕГРН. С переходом всех субъектов на ЕГРН платформа будет доступна для объектов по всей стране.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6"/>
    <w:pPr/>
    <w:rPr/>
  </w:style>
  <w:style w:type="paragraph" w:styleId="2">
    <w:name w:val="Заголовок 2"/>
    <w:basedOn w:val="Normal"/>
    <w:link w:val="20"/>
    <w:uiPriority w:val="9"/>
    <w:semiHidden/>
    <w:unhideWhenUsed/>
    <w:qFormat/>
    <w:rsid w:val="00275d65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3">
    <w:name w:val="Заголовок 3"/>
    <w:basedOn w:val="Normal"/>
    <w:link w:val="30"/>
    <w:uiPriority w:val="9"/>
    <w:qFormat/>
    <w:rsid w:val="00275d6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275d65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275d65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275d65"/>
    <w:rPr>
      <w:b/>
      <w:bCs/>
    </w:rPr>
  </w:style>
  <w:style w:type="character" w:styleId="Ctatext" w:customStyle="1">
    <w:name w:val="ctatext"/>
    <w:basedOn w:val="DefaultParagraphFont"/>
    <w:qFormat/>
    <w:rsid w:val="00275d65"/>
    <w:rPr/>
  </w:style>
  <w:style w:type="character" w:styleId="Posttitle" w:customStyle="1">
    <w:name w:val="posttitle"/>
    <w:basedOn w:val="DefaultParagraphFont"/>
    <w:qFormat/>
    <w:rsid w:val="00275d65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75d65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c60fd"/>
    <w:rPr>
      <w:sz w:val="16"/>
      <w:szCs w:val="16"/>
    </w:rPr>
  </w:style>
  <w:style w:type="character" w:styleId="Style12" w:customStyle="1">
    <w:name w:val="Текст примечания Знак"/>
    <w:basedOn w:val="DefaultParagraphFont"/>
    <w:link w:val="a7"/>
    <w:uiPriority w:val="99"/>
    <w:semiHidden/>
    <w:qFormat/>
    <w:rsid w:val="003c60fd"/>
    <w:rPr>
      <w:sz w:val="20"/>
      <w:szCs w:val="20"/>
    </w:rPr>
  </w:style>
  <w:style w:type="character" w:styleId="Style13" w:customStyle="1">
    <w:name w:val="Тема примечания Знак"/>
    <w:basedOn w:val="Style12"/>
    <w:link w:val="a9"/>
    <w:uiPriority w:val="99"/>
    <w:semiHidden/>
    <w:qFormat/>
    <w:rsid w:val="003c60fd"/>
    <w:rPr>
      <w:b/>
      <w:bCs/>
      <w:sz w:val="20"/>
      <w:szCs w:val="20"/>
    </w:rPr>
  </w:style>
  <w:style w:type="character" w:styleId="Style14" w:customStyle="1">
    <w:name w:val="Текст выноски Знак"/>
    <w:basedOn w:val="DefaultParagraphFont"/>
    <w:link w:val="ab"/>
    <w:uiPriority w:val="99"/>
    <w:semiHidden/>
    <w:qFormat/>
    <w:rsid w:val="003c60fd"/>
    <w:rPr>
      <w:rFonts w:ascii="Segoe UI" w:hAnsi="Segoe UI" w:cs="Segoe UI"/>
      <w:sz w:val="18"/>
      <w:szCs w:val="18"/>
    </w:rPr>
  </w:style>
  <w:style w:type="character" w:styleId="Style15">
    <w:name w:val="Выделение"/>
    <w:basedOn w:val="DefaultParagraphFont"/>
    <w:uiPriority w:val="20"/>
    <w:qFormat/>
    <w:rsid w:val="0032467e"/>
    <w:rPr>
      <w:i/>
      <w:i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75d6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8"/>
    <w:uiPriority w:val="99"/>
    <w:semiHidden/>
    <w:unhideWhenUsed/>
    <w:qFormat/>
    <w:rsid w:val="003c60f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a"/>
    <w:uiPriority w:val="99"/>
    <w:semiHidden/>
    <w:unhideWhenUsed/>
    <w:qFormat/>
    <w:rsid w:val="003c60fd"/>
    <w:pPr/>
    <w:rPr>
      <w:b/>
      <w:bCs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3c60f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39c1"/>
    <w:pPr>
      <w:spacing w:before="0" w:after="160"/>
      <w:ind w:left="720" w:hanging="0"/>
      <w:contextualSpacing/>
    </w:pPr>
    <w:rPr/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6"/>
    <w:pPr/>
    <w:rPr/>
  </w:style>
  <w:style w:type="paragraph" w:styleId="Style23">
    <w:name w:val="Подзаголовок"/>
    <w:basedOn w:val="Style16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adastr.ru/site/press/news/detail.htm?id=10429616@fkpNewsRegion" TargetMode="External"/><Relationship Id="rId3" Type="http://schemas.openxmlformats.org/officeDocument/2006/relationships/hyperlink" Target="https://spv.kadastr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14F2-EC71-414E-B755-DB0CD4D1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LibreOffice/4.4.4.3$Windows_x86 LibreOffice_project/2c39ebcf046445232b798108aa8a7e7d89552ea8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2019-09-10T07:06:00Z</dcterms:created>
  <dc:creator>Игошина Екатерина Викторовна</dc:creator>
  <dc:language>ru-RU</dc:language>
  <cp:lastModifiedBy>111</cp:lastModifiedBy>
  <dcterms:modified xsi:type="dcterms:W3CDTF">2019-09-27T12:24:18Z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