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10490" w:type="dxa"/>
        <w:tblInd w:w="-856" w:type="dxa"/>
        <w:tblLook w:val="04A0" w:firstRow="1" w:lastRow="0" w:firstColumn="1" w:lastColumn="0" w:noHBand="0" w:noVBand="1"/>
      </w:tblPr>
      <w:tblGrid>
        <w:gridCol w:w="10490"/>
      </w:tblGrid>
      <w:tr w:rsidR="00860FCB" w:rsidRPr="00ED0CB9" w14:paraId="0EF4AF5C" w14:textId="77777777" w:rsidTr="00860FCB">
        <w:trPr>
          <w:trHeight w:val="752"/>
          <w:tblHeader/>
        </w:trPr>
        <w:tc>
          <w:tcPr>
            <w:tcW w:w="10490" w:type="dxa"/>
            <w:shd w:val="clear" w:color="auto" w:fill="D5DCE4" w:themeFill="text2" w:themeFillTint="33"/>
          </w:tcPr>
          <w:p w14:paraId="06A25886" w14:textId="77777777" w:rsidR="00860FCB" w:rsidRPr="00860FCB" w:rsidRDefault="00860FCB" w:rsidP="00BA362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60FC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Структура Положения о СОУТ</w:t>
            </w:r>
          </w:p>
          <w:p w14:paraId="1D2AD331" w14:textId="77777777" w:rsidR="00860FCB" w:rsidRPr="00ED0CB9" w:rsidRDefault="00860FCB" w:rsidP="00BA362E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60FCB" w:rsidRPr="00ED0CB9" w14:paraId="54D1CFE2" w14:textId="77777777" w:rsidTr="00860FCB">
        <w:tc>
          <w:tcPr>
            <w:tcW w:w="10490" w:type="dxa"/>
          </w:tcPr>
          <w:p w14:paraId="5BF80482" w14:textId="77777777" w:rsidR="00860FCB" w:rsidRPr="00ED0CB9" w:rsidRDefault="00860FCB" w:rsidP="00BA362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0CB9">
              <w:rPr>
                <w:rFonts w:ascii="Times New Roman" w:eastAsia="Calibri" w:hAnsi="Times New Roman" w:cs="Times New Roman"/>
                <w:sz w:val="28"/>
                <w:szCs w:val="28"/>
              </w:rPr>
              <w:t>I. Общие положения</w:t>
            </w:r>
          </w:p>
        </w:tc>
      </w:tr>
      <w:tr w:rsidR="00860FCB" w:rsidRPr="00ED0CB9" w14:paraId="5BB39C45" w14:textId="77777777" w:rsidTr="00860FCB">
        <w:tc>
          <w:tcPr>
            <w:tcW w:w="10490" w:type="dxa"/>
          </w:tcPr>
          <w:p w14:paraId="1020F715" w14:textId="77777777" w:rsidR="00860FCB" w:rsidRPr="00ED0CB9" w:rsidRDefault="00860FCB" w:rsidP="00BA362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0CB9">
              <w:rPr>
                <w:rFonts w:ascii="Times New Roman" w:eastAsia="Arial" w:hAnsi="Times New Roman" w:cs="Times New Roman"/>
                <w:caps/>
                <w:sz w:val="28"/>
                <w:szCs w:val="28"/>
              </w:rPr>
              <w:t xml:space="preserve">II. </w:t>
            </w:r>
            <w:r w:rsidRPr="00ED0CB9">
              <w:rPr>
                <w:rFonts w:ascii="Times New Roman" w:eastAsia="Arial" w:hAnsi="Times New Roman" w:cs="Times New Roman"/>
                <w:sz w:val="28"/>
                <w:szCs w:val="28"/>
              </w:rPr>
              <w:t>Политика и цели по охране труда</w:t>
            </w:r>
          </w:p>
        </w:tc>
      </w:tr>
      <w:tr w:rsidR="00860FCB" w:rsidRPr="00ED0CB9" w14:paraId="654BDB27" w14:textId="77777777" w:rsidTr="00860FCB">
        <w:tc>
          <w:tcPr>
            <w:tcW w:w="10490" w:type="dxa"/>
          </w:tcPr>
          <w:p w14:paraId="147EF363" w14:textId="77777777" w:rsidR="00860FCB" w:rsidRPr="00ED0CB9" w:rsidRDefault="00860FCB" w:rsidP="00BA362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0C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III.  </w:t>
            </w:r>
            <w:r w:rsidRPr="00B6549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Порядок проведения специальной оценки условий труда, оценки профессиональных рисков и информирования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соискателей и </w:t>
            </w:r>
            <w:r w:rsidRPr="00B6549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работнико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 клинике </w:t>
            </w:r>
            <w:r w:rsidRPr="00B6549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 условиях труда и опасностях на рабочем месте</w:t>
            </w:r>
          </w:p>
        </w:tc>
      </w:tr>
      <w:tr w:rsidR="00860FCB" w:rsidRPr="00ED0CB9" w14:paraId="29E2C8F7" w14:textId="77777777" w:rsidTr="00860FCB">
        <w:tc>
          <w:tcPr>
            <w:tcW w:w="10490" w:type="dxa"/>
          </w:tcPr>
          <w:p w14:paraId="2A235E3B" w14:textId="77777777" w:rsidR="00860FCB" w:rsidRPr="00ED0CB9" w:rsidRDefault="00860FCB" w:rsidP="00BA362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0C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IV. </w:t>
            </w:r>
            <w:r w:rsidRPr="007254A3">
              <w:rPr>
                <w:rFonts w:ascii="Times New Roman" w:eastAsia="Calibri" w:hAnsi="Times New Roman" w:cs="Times New Roman"/>
                <w:sz w:val="28"/>
                <w:szCs w:val="28"/>
              </w:rPr>
              <w:t>Планирование и контроль реализации мероприятий по охране труда, улучшений функционирования СУОТ</w:t>
            </w:r>
          </w:p>
        </w:tc>
      </w:tr>
      <w:tr w:rsidR="00860FCB" w:rsidRPr="00ED0CB9" w14:paraId="668F3FB7" w14:textId="77777777" w:rsidTr="00860FCB">
        <w:trPr>
          <w:trHeight w:val="166"/>
        </w:trPr>
        <w:tc>
          <w:tcPr>
            <w:tcW w:w="10490" w:type="dxa"/>
          </w:tcPr>
          <w:p w14:paraId="7C4462CD" w14:textId="77777777" w:rsidR="00860FCB" w:rsidRPr="00ED0CB9" w:rsidRDefault="00860FCB" w:rsidP="00BA362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0CB9">
              <w:rPr>
                <w:rFonts w:ascii="Times New Roman" w:eastAsia="Calibri" w:hAnsi="Times New Roman" w:cs="Times New Roman"/>
                <w:sz w:val="28"/>
                <w:szCs w:val="28"/>
              </w:rPr>
              <w:t>V. Мониторинг и оценка эффективности функционирования СУОТ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860FCB" w:rsidRPr="00ED0CB9" w14:paraId="40E8491C" w14:textId="77777777" w:rsidTr="00860FCB">
        <w:tc>
          <w:tcPr>
            <w:tcW w:w="10490" w:type="dxa"/>
          </w:tcPr>
          <w:p w14:paraId="208C4964" w14:textId="77777777" w:rsidR="00860FCB" w:rsidRPr="00ED0CB9" w:rsidRDefault="00860FCB" w:rsidP="00BA362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0C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VI. </w:t>
            </w:r>
            <w:r w:rsidRPr="007254A3">
              <w:rPr>
                <w:rFonts w:ascii="Times New Roman" w:eastAsia="Calibri" w:hAnsi="Times New Roman" w:cs="Times New Roman"/>
                <w:sz w:val="28"/>
                <w:szCs w:val="28"/>
              </w:rPr>
              <w:t>Обучение и развитие компетенций по охране труда</w:t>
            </w:r>
          </w:p>
        </w:tc>
      </w:tr>
      <w:tr w:rsidR="00860FCB" w:rsidRPr="00ED0CB9" w14:paraId="635E30FC" w14:textId="77777777" w:rsidTr="00860FCB">
        <w:tc>
          <w:tcPr>
            <w:tcW w:w="10490" w:type="dxa"/>
          </w:tcPr>
          <w:p w14:paraId="2A499176" w14:textId="77777777" w:rsidR="00860FCB" w:rsidRPr="00ED0CB9" w:rsidRDefault="00860FCB" w:rsidP="00BA362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0CB9">
              <w:rPr>
                <w:rFonts w:ascii="Times New Roman" w:eastAsia="Calibri" w:hAnsi="Times New Roman" w:cs="Times New Roman"/>
                <w:sz w:val="28"/>
                <w:szCs w:val="28"/>
              </w:rPr>
              <w:t>VII. Порядок проведения медосмотров и обязательного психиатрического освидетельствования</w:t>
            </w:r>
          </w:p>
        </w:tc>
      </w:tr>
      <w:tr w:rsidR="00860FCB" w:rsidRPr="00ED0CB9" w14:paraId="602A49E0" w14:textId="77777777" w:rsidTr="00860FCB">
        <w:tc>
          <w:tcPr>
            <w:tcW w:w="10490" w:type="dxa"/>
          </w:tcPr>
          <w:p w14:paraId="2F8A1A93" w14:textId="77777777" w:rsidR="00860FCB" w:rsidRPr="00ED0CB9" w:rsidRDefault="00860FCB" w:rsidP="00BA362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0CB9">
              <w:rPr>
                <w:rFonts w:ascii="Times New Roman" w:eastAsia="Calibri" w:hAnsi="Times New Roman" w:cs="Times New Roman"/>
                <w:sz w:val="28"/>
                <w:szCs w:val="28"/>
              </w:rPr>
              <w:t>VIII. Порядок обеспечения работников средствами индивидуальной и коллективной защиты, смывающими и обезвреживающими средствами</w:t>
            </w:r>
          </w:p>
        </w:tc>
      </w:tr>
      <w:tr w:rsidR="00860FCB" w:rsidRPr="00ED0CB9" w14:paraId="0F64FA39" w14:textId="77777777" w:rsidTr="00860FCB">
        <w:tc>
          <w:tcPr>
            <w:tcW w:w="10490" w:type="dxa"/>
          </w:tcPr>
          <w:p w14:paraId="5160F35C" w14:textId="77777777" w:rsidR="00860FCB" w:rsidRPr="00F965F5" w:rsidRDefault="00860FCB" w:rsidP="00BA362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965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IX. </w:t>
            </w:r>
            <w:r w:rsidRPr="00F965F5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  <w:t xml:space="preserve">Консультации и взаимодействие с представительным органом работников в формировании культуры безопасности </w:t>
            </w:r>
          </w:p>
        </w:tc>
      </w:tr>
      <w:tr w:rsidR="00860FCB" w:rsidRPr="00ED0CB9" w14:paraId="44970D31" w14:textId="77777777" w:rsidTr="00860FCB">
        <w:trPr>
          <w:trHeight w:val="360"/>
        </w:trPr>
        <w:tc>
          <w:tcPr>
            <w:tcW w:w="10490" w:type="dxa"/>
          </w:tcPr>
          <w:p w14:paraId="2FE02277" w14:textId="77777777" w:rsidR="00860FCB" w:rsidRPr="00ED0CB9" w:rsidRDefault="00860FCB" w:rsidP="00BA362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C6A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Организация</w:t>
            </w:r>
            <w:r w:rsidRPr="00F965F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санитарно-бытового обеспечения </w:t>
            </w:r>
          </w:p>
        </w:tc>
      </w:tr>
      <w:tr w:rsidR="00860FCB" w:rsidRPr="00ED0CB9" w14:paraId="01ABB5FF" w14:textId="77777777" w:rsidTr="00860FCB">
        <w:tc>
          <w:tcPr>
            <w:tcW w:w="10490" w:type="dxa"/>
          </w:tcPr>
          <w:p w14:paraId="71E1E218" w14:textId="77777777" w:rsidR="00860FCB" w:rsidRPr="00AC6A94" w:rsidRDefault="00860FCB" w:rsidP="00BA362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F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ХI. Распределение обязанностей между должностными лицами </w:t>
            </w:r>
            <w:r w:rsidRPr="00BF17D3">
              <w:rPr>
                <w:rFonts w:ascii="Times New Roman" w:eastAsia="Calibri" w:hAnsi="Times New Roman" w:cs="Times New Roman"/>
                <w:sz w:val="28"/>
                <w:szCs w:val="28"/>
              </w:rPr>
              <w:t>в сфере охраны труда</w:t>
            </w:r>
          </w:p>
        </w:tc>
      </w:tr>
      <w:tr w:rsidR="00860FCB" w:rsidRPr="00ED0CB9" w14:paraId="2C1739B1" w14:textId="77777777" w:rsidTr="00860FCB">
        <w:tc>
          <w:tcPr>
            <w:tcW w:w="10490" w:type="dxa"/>
          </w:tcPr>
          <w:p w14:paraId="3371B41B" w14:textId="77777777" w:rsidR="00860FCB" w:rsidRPr="00517FB5" w:rsidRDefault="00860FCB" w:rsidP="00BA362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17F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ХII. </w:t>
            </w:r>
            <w:r w:rsidRPr="00206966">
              <w:rPr>
                <w:rFonts w:ascii="Times New Roman" w:eastAsia="Calibri" w:hAnsi="Times New Roman" w:cs="Times New Roman"/>
                <w:sz w:val="28"/>
                <w:szCs w:val="28"/>
              </w:rPr>
              <w:t>Порядок реагирования на аварийные ситуации</w:t>
            </w:r>
          </w:p>
        </w:tc>
      </w:tr>
      <w:tr w:rsidR="00860FCB" w:rsidRPr="00ED0CB9" w14:paraId="19334BCC" w14:textId="77777777" w:rsidTr="00860FCB">
        <w:trPr>
          <w:trHeight w:val="378"/>
        </w:trPr>
        <w:tc>
          <w:tcPr>
            <w:tcW w:w="10490" w:type="dxa"/>
          </w:tcPr>
          <w:p w14:paraId="120D0987" w14:textId="77777777" w:rsidR="00860FCB" w:rsidRPr="00517FB5" w:rsidRDefault="00860FCB" w:rsidP="00BA362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43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ХIII. </w:t>
            </w:r>
            <w:r w:rsidRPr="0020696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Реагирование на микротравмы, несчастные случаи и профессиональные заболевания работников </w:t>
            </w:r>
          </w:p>
        </w:tc>
      </w:tr>
      <w:tr w:rsidR="00860FCB" w:rsidRPr="00ED0CB9" w14:paraId="066A35E1" w14:textId="77777777" w:rsidTr="00860FCB">
        <w:trPr>
          <w:trHeight w:val="450"/>
        </w:trPr>
        <w:tc>
          <w:tcPr>
            <w:tcW w:w="10490" w:type="dxa"/>
          </w:tcPr>
          <w:p w14:paraId="5FEF9D16" w14:textId="77777777" w:rsidR="00860FCB" w:rsidRPr="00517FB5" w:rsidRDefault="00860FCB" w:rsidP="00BA362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43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ХIV.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социального страхования работников </w:t>
            </w:r>
          </w:p>
        </w:tc>
      </w:tr>
      <w:tr w:rsidR="00860FCB" w:rsidRPr="00ED0CB9" w14:paraId="5B8C74D5" w14:textId="77777777" w:rsidTr="00860FCB">
        <w:tc>
          <w:tcPr>
            <w:tcW w:w="10490" w:type="dxa"/>
          </w:tcPr>
          <w:p w14:paraId="33A1A6E5" w14:textId="77777777" w:rsidR="00860FCB" w:rsidRPr="00517FB5" w:rsidRDefault="00860FCB" w:rsidP="00BA362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43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ХV.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Соблюдение режима труда и отдыха работников </w:t>
            </w:r>
          </w:p>
        </w:tc>
      </w:tr>
      <w:tr w:rsidR="00860FCB" w:rsidRPr="00ED0CB9" w14:paraId="420B5247" w14:textId="77777777" w:rsidTr="00860FCB">
        <w:tc>
          <w:tcPr>
            <w:tcW w:w="10490" w:type="dxa"/>
          </w:tcPr>
          <w:p w14:paraId="366B00D2" w14:textId="77777777" w:rsidR="00860FCB" w:rsidRPr="00517FB5" w:rsidRDefault="00860FCB" w:rsidP="00BA362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0A67">
              <w:rPr>
                <w:rFonts w:ascii="Times New Roman" w:eastAsia="Calibri" w:hAnsi="Times New Roman" w:cs="Times New Roman"/>
                <w:sz w:val="28"/>
                <w:szCs w:val="28"/>
              </w:rPr>
              <w:t>ХVI. Порядок обеспечения работников молоком и другими равноценными пищевыми продуктами, лечебно-профилактическим питанием</w:t>
            </w:r>
          </w:p>
        </w:tc>
      </w:tr>
      <w:tr w:rsidR="00860FCB" w:rsidRPr="00ED0CB9" w14:paraId="54863990" w14:textId="77777777" w:rsidTr="00860FCB">
        <w:tc>
          <w:tcPr>
            <w:tcW w:w="10490" w:type="dxa"/>
          </w:tcPr>
          <w:p w14:paraId="47604D67" w14:textId="77777777" w:rsidR="00860FCB" w:rsidRPr="00517FB5" w:rsidRDefault="00860FCB" w:rsidP="00BA362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0A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ХVII. </w:t>
            </w:r>
            <w:r w:rsidRPr="004610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Порядок обеспечения безопасности работников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 </w:t>
            </w:r>
            <w:r w:rsidRPr="00980A67">
              <w:rPr>
                <w:rFonts w:ascii="Times New Roman" w:eastAsia="Calibri" w:hAnsi="Times New Roman" w:cs="Times New Roman"/>
                <w:sz w:val="28"/>
                <w:szCs w:val="28"/>
              </w:rPr>
              <w:t>эксплуатации зданий и сооружений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осуществлении технологических процессов</w:t>
            </w:r>
          </w:p>
        </w:tc>
      </w:tr>
      <w:tr w:rsidR="00860FCB" w:rsidRPr="00ED0CB9" w14:paraId="137F5161" w14:textId="77777777" w:rsidTr="00860FCB">
        <w:tc>
          <w:tcPr>
            <w:tcW w:w="10490" w:type="dxa"/>
          </w:tcPr>
          <w:p w14:paraId="3C5B3EA7" w14:textId="77777777" w:rsidR="00860FCB" w:rsidRPr="00ED0CB9" w:rsidRDefault="00860FCB" w:rsidP="00BA362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729A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ХVIII.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 w:rsidRPr="0046103E">
              <w:rPr>
                <w:rFonts w:ascii="Times New Roman" w:eastAsia="Calibri" w:hAnsi="Times New Roman" w:cs="Times New Roman"/>
                <w:sz w:val="28"/>
                <w:szCs w:val="28"/>
              </w:rPr>
              <w:t>оложение о допуске подрядных организаций к производству работ на территории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в зданиях и сооружениях </w:t>
            </w:r>
          </w:p>
        </w:tc>
      </w:tr>
      <w:tr w:rsidR="00860FCB" w:rsidRPr="00ED0CB9" w14:paraId="3EF75DC7" w14:textId="77777777" w:rsidTr="00860FCB">
        <w:trPr>
          <w:trHeight w:val="804"/>
        </w:trPr>
        <w:tc>
          <w:tcPr>
            <w:tcW w:w="10490" w:type="dxa"/>
          </w:tcPr>
          <w:p w14:paraId="1661BF5F" w14:textId="77777777" w:rsidR="00860FCB" w:rsidRPr="00ED0CB9" w:rsidRDefault="00860FCB" w:rsidP="00BA362E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8505F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ХIХ. </w:t>
            </w:r>
            <w:r w:rsidRPr="0046103E">
              <w:rPr>
                <w:rFonts w:ascii="Times New Roman" w:eastAsia="Calibri" w:hAnsi="Times New Roman" w:cs="Times New Roman"/>
                <w:sz w:val="28"/>
                <w:szCs w:val="28"/>
              </w:rPr>
              <w:t>Порядок обеспечения безопасности работников при эксплуатации оборудования, применяемых инструментов, сырья и материалов</w:t>
            </w:r>
          </w:p>
        </w:tc>
      </w:tr>
    </w:tbl>
    <w:p w14:paraId="32D572F6" w14:textId="77777777" w:rsidR="003C6259" w:rsidRDefault="003C6259"/>
    <w:sectPr w:rsidR="003C6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1DE"/>
    <w:rsid w:val="000951DE"/>
    <w:rsid w:val="00247EB5"/>
    <w:rsid w:val="003C6259"/>
    <w:rsid w:val="005D5356"/>
    <w:rsid w:val="00860FCB"/>
    <w:rsid w:val="00CF2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B9FBD"/>
  <w15:chartTrackingRefBased/>
  <w15:docId w15:val="{ED1324AA-6630-456D-93C9-E6A0B744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51D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95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95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shabalinmusic@gmail.com</cp:lastModifiedBy>
  <cp:revision>2</cp:revision>
  <dcterms:created xsi:type="dcterms:W3CDTF">2022-02-09T06:44:00Z</dcterms:created>
  <dcterms:modified xsi:type="dcterms:W3CDTF">2022-02-09T06:44:00Z</dcterms:modified>
</cp:coreProperties>
</file>