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F637E5">
      <w:pPr>
        <w:pStyle w:val="printredaction-line"/>
        <w:divId w:val="312418741"/>
      </w:pPr>
      <w:r>
        <w:t>Редакция от 1 сен 2020</w:t>
      </w:r>
    </w:p>
    <w:p w:rsidR="00000000" w:rsidRDefault="00F637E5">
      <w:pPr>
        <w:pStyle w:val="2"/>
        <w:divId w:val="312418741"/>
        <w:rPr>
          <w:rFonts w:eastAsia="Times New Roman"/>
        </w:rPr>
      </w:pPr>
      <w:r>
        <w:rPr>
          <w:rFonts w:eastAsia="Times New Roman"/>
        </w:rPr>
        <w:t>Как разработать положение о СУОТ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20"/>
        <w:gridCol w:w="7735"/>
      </w:tblGrid>
      <w:tr w:rsidR="00000000">
        <w:trPr>
          <w:divId w:val="312418741"/>
        </w:trPr>
        <w:tc>
          <w:tcPr>
            <w:tcW w:w="0" w:type="auto"/>
            <w:vAlign w:val="center"/>
            <w:hideMark/>
          </w:tcPr>
          <w:p w:rsidR="00000000" w:rsidRDefault="00F637E5">
            <w:pPr>
              <w:divId w:val="1977643518"/>
              <w:rPr>
                <w:rFonts w:eastAsia="Times New Roman"/>
              </w:rPr>
            </w:pPr>
            <w:r>
              <w:rPr>
                <w:rFonts w:eastAsia="Times New Roman"/>
                <w:noProof/>
              </w:rPr>
              <w:drawing>
                <wp:inline distT="0" distB="0" distL="0" distR="0">
                  <wp:extent cx="1019175" cy="1257300"/>
                  <wp:effectExtent l="0" t="0" r="9525" b="0"/>
                  <wp:docPr id="1" name="Рисунок 1" descr="Екатерина Кузнец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Екатерина Кузнец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000000" w:rsidRDefault="00F637E5">
            <w:pPr>
              <w:pStyle w:val="authorabout"/>
            </w:pPr>
            <w:r>
              <w:t>Екатерина Кузнецова, кандидат социологических наук, начальник Управления охраны труда и профессиональных рисков ФГ</w:t>
            </w:r>
            <w:r>
              <w:t>БУ «НИИ труда и социального страхования» Минтруда России (Москва)</w:t>
            </w:r>
          </w:p>
        </w:tc>
      </w:tr>
    </w:tbl>
    <w:p w:rsidR="00000000" w:rsidRDefault="00F637E5">
      <w:pPr>
        <w:pStyle w:val="a3"/>
        <w:divId w:val="2140371747"/>
      </w:pPr>
      <w:r>
        <w:t>Чтобы разработать положение о СУОТ, используйте</w:t>
      </w:r>
      <w:r>
        <w:t xml:space="preserve"> </w:t>
      </w:r>
      <w:hyperlink r:id="rId6" w:anchor="/document/99/420376480/XA00LTK2M0/" w:tooltip="" w:history="1">
        <w:r>
          <w:rPr>
            <w:rStyle w:val="a4"/>
          </w:rPr>
          <w:t>типовое положение</w:t>
        </w:r>
      </w:hyperlink>
      <w:r>
        <w:t>, которое утвердил Минтруд</w:t>
      </w:r>
      <w:r>
        <w:t xml:space="preserve"> </w:t>
      </w:r>
      <w:hyperlink r:id="rId7" w:anchor="/document/99/420376480/" w:tooltip="" w:history="1">
        <w:r>
          <w:rPr>
            <w:rStyle w:val="a4"/>
          </w:rPr>
          <w:t>приказом от 19.08.2016 № 438н</w:t>
        </w:r>
      </w:hyperlink>
      <w:r>
        <w:t>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61"/>
        <w:gridCol w:w="9094"/>
      </w:tblGrid>
      <w:tr w:rsidR="00000000" w:rsidTr="00F637E5">
        <w:trPr>
          <w:divId w:val="1771074837"/>
        </w:trPr>
        <w:tc>
          <w:tcPr>
            <w:tcW w:w="585" w:type="dxa"/>
          </w:tcPr>
          <w:p w:rsidR="00000000" w:rsidRDefault="00F637E5">
            <w:pPr>
              <w:rPr>
                <w:rFonts w:eastAsia="Times New Roman"/>
              </w:rPr>
            </w:pPr>
          </w:p>
        </w:tc>
        <w:tc>
          <w:tcPr>
            <w:tcW w:w="9930" w:type="dxa"/>
            <w:vAlign w:val="center"/>
          </w:tcPr>
          <w:p w:rsidR="00000000" w:rsidRDefault="00F637E5">
            <w:pPr>
              <w:rPr>
                <w:rFonts w:eastAsia="Times New Roman"/>
              </w:rPr>
            </w:pPr>
          </w:p>
        </w:tc>
      </w:tr>
    </w:tbl>
    <w:p w:rsidR="00000000" w:rsidRDefault="00F637E5">
      <w:pPr>
        <w:pStyle w:val="a3"/>
        <w:divId w:val="2140371747"/>
      </w:pPr>
      <w:r>
        <w:t>При разработке СУОТ используйте информацию из ГОСТ</w:t>
      </w:r>
      <w:r>
        <w:t>ов, например:</w:t>
      </w:r>
      <w:r>
        <w:t xml:space="preserve"> </w:t>
      </w:r>
      <w:hyperlink r:id="rId8" w:anchor="/document/97/16672/" w:tooltip="" w:history="1">
        <w:r>
          <w:rPr>
            <w:rStyle w:val="a4"/>
          </w:rPr>
          <w:t>ГОСТ 12.0.230-2007</w:t>
        </w:r>
      </w:hyperlink>
      <w:r>
        <w:t xml:space="preserve"> «Межгосударственный стандарт. Система стандартов безопасности труда. Системы управления охраной труда. Общие требования» и</w:t>
      </w:r>
      <w:r>
        <w:t xml:space="preserve"> </w:t>
      </w:r>
      <w:hyperlink r:id="rId9" w:anchor="/document/97/269546/po291/" w:tooltip="" w:history="1">
        <w:r>
          <w:rPr>
            <w:rStyle w:val="a4"/>
          </w:rPr>
          <w:t>ГОСТ 12.0.230.1-2015</w:t>
        </w:r>
      </w:hyperlink>
      <w:r>
        <w:t xml:space="preserve"> «Система стандартов безопасности труда. Системы управления охраной труда. Руководство по применению ГОСТ 12.0.230-2007»</w:t>
      </w:r>
      <w:r>
        <w:t>.</w:t>
      </w:r>
    </w:p>
    <w:p w:rsidR="00000000" w:rsidRDefault="00F637E5">
      <w:pPr>
        <w:pStyle w:val="a3"/>
        <w:divId w:val="2140371747"/>
      </w:pPr>
      <w:r>
        <w:t>Разработайте процедуры, которые направлены на поддержание функционирования СУОТ. Каждая процедура может быть прописана в</w:t>
      </w:r>
      <w:r>
        <w:t xml:space="preserve"> отдельном ЛНА – стандарте общества. Укажите ссылку на этот ЛНА в одном из разделов положения о СУОТ. Например, процедура подготовки работников по охране труда реализуется в соответствии с</w:t>
      </w:r>
      <w:r>
        <w:t xml:space="preserve"> </w:t>
      </w:r>
      <w:hyperlink r:id="rId10" w:anchor="/document/118/44706/" w:tooltip="" w:history="1">
        <w:r>
          <w:rPr>
            <w:rStyle w:val="a4"/>
          </w:rPr>
          <w:t>Положением о проведении стажировки на рабочем месте</w:t>
        </w:r>
      </w:hyperlink>
      <w:r>
        <w:t>, утв. приказом Общества от 20.09.2019 № 3</w:t>
      </w:r>
      <w:r>
        <w:t>.</w:t>
      </w:r>
    </w:p>
    <w:p w:rsidR="00000000" w:rsidRDefault="00F637E5">
      <w:pPr>
        <w:pStyle w:val="a3"/>
        <w:divId w:val="2140371747"/>
      </w:pPr>
      <w:r>
        <w:t>Типовое положение предусматривает обязательные процедуры, которых может не быть в вашей организации. Например, работодатель не обеспечивает работников молок</w:t>
      </w:r>
      <w:r>
        <w:t xml:space="preserve">ом и лечебно-профилактическим питанием, потому что по результатам </w:t>
      </w:r>
      <w:proofErr w:type="spellStart"/>
      <w:r>
        <w:t>спецоценки</w:t>
      </w:r>
      <w:proofErr w:type="spellEnd"/>
      <w:r>
        <w:t xml:space="preserve"> условия труда не установили вредные или опасные производственные факторы. Чтобы избежать лишних вопросов со стороны ГИТ, укажите в начале раздела, где описываете процедуры, </w:t>
      </w:r>
      <w:proofErr w:type="gramStart"/>
      <w:r>
        <w:t>причин</w:t>
      </w:r>
      <w:r>
        <w:t>ы</w:t>
      </w:r>
      <w:proofErr w:type="gramEnd"/>
      <w:r>
        <w:t xml:space="preserve"> по которым не выдаете молоко. В данном случае – это отсутствие оснований по результатам </w:t>
      </w:r>
      <w:proofErr w:type="spellStart"/>
      <w:r>
        <w:t>спецоценки</w:t>
      </w:r>
      <w:proofErr w:type="spellEnd"/>
      <w:r>
        <w:t>.</w:t>
      </w:r>
      <w:r>
        <w:t> </w:t>
      </w:r>
    </w:p>
    <w:p w:rsidR="00000000" w:rsidRDefault="00F637E5">
      <w:pPr>
        <w:pStyle w:val="a3"/>
        <w:divId w:val="2140371747"/>
      </w:pPr>
      <w:r>
        <w:rPr>
          <w:rStyle w:val="a6"/>
        </w:rPr>
        <w:t>Подготовка работников по охране труда</w:t>
      </w:r>
      <w:r>
        <w:t>. Разработайте процедуру в соответствии с</w:t>
      </w:r>
      <w:r>
        <w:t xml:space="preserve"> </w:t>
      </w:r>
      <w:hyperlink r:id="rId11" w:anchor="/document/99/901850788/" w:tooltip="" w:history="1">
        <w:r>
          <w:rPr>
            <w:rStyle w:val="a4"/>
          </w:rPr>
          <w:t>Порядком 1/29</w:t>
        </w:r>
      </w:hyperlink>
      <w:r>
        <w:t>, который утвержден постановлением Минтруда и Минобразования от 13 января 2003 г. В процедуре установите, как проходят инструктажи, стажировка, обучение, проверка знаний по охране труда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 xml:space="preserve">Организация и проведение оценки условий труда. </w:t>
      </w:r>
      <w:r>
        <w:t>Разработ</w:t>
      </w:r>
      <w:r>
        <w:t>айте процедуру с учетом требований</w:t>
      </w:r>
      <w:r>
        <w:t xml:space="preserve"> </w:t>
      </w:r>
      <w:hyperlink r:id="rId12" w:anchor="/document/99/499067392/" w:tooltip="" w:history="1">
        <w:r>
          <w:rPr>
            <w:rStyle w:val="a4"/>
          </w:rPr>
          <w:t>закона от 28.12.2013 г. № 426-ФЗ</w:t>
        </w:r>
      </w:hyperlink>
      <w:r>
        <w:t>. Установите порядок формирования комиссии по проведению СУОТ, обязанности и ответственность членов комиссии, поря</w:t>
      </w:r>
      <w:r>
        <w:t>док проведения СУОТ и отбора специализированной организации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 xml:space="preserve">Управление профессиональными рисками. </w:t>
      </w:r>
      <w:r>
        <w:t>Установите порядок выявления опасностей, оценки уровней профессиональных рисков, их снижения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lastRenderedPageBreak/>
        <w:t>Организация и проведение наблюдения за состоянием здоровья работников. </w:t>
      </w:r>
      <w:r>
        <w:t>Разработайте процедуру в соответствии с</w:t>
      </w:r>
      <w:r>
        <w:t xml:space="preserve"> </w:t>
      </w:r>
      <w:hyperlink r:id="rId13" w:anchor="/document/99/902275195/" w:tooltip="" w:history="1">
        <w:r>
          <w:rPr>
            <w:rStyle w:val="a4"/>
          </w:rPr>
          <w:t>приказом № 302н</w:t>
        </w:r>
      </w:hyperlink>
      <w:r>
        <w:t>. Установите порядок проведения медосмотров, психиатрич</w:t>
      </w:r>
      <w:r>
        <w:t>еских освидетельствований, химико-токсикологических исследований работников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 xml:space="preserve">Информирование работников </w:t>
      </w:r>
      <w:r>
        <w:t>об условиях труда на их рабочих местах, уровнях профессиональных рисков, а также о предоставляемых им гарантиях, полагающихся компенсациях. Установите, в</w:t>
      </w:r>
      <w:r>
        <w:t xml:space="preserve"> какой форме информировать работников. Например, включить </w:t>
      </w:r>
      <w:proofErr w:type="gramStart"/>
      <w:r>
        <w:t>соответствующие</w:t>
      </w:r>
      <w:proofErr w:type="gramEnd"/>
      <w:r>
        <w:t xml:space="preserve"> положения в трудовой договор, ознакомить работника с результатами СУОТ на его рабочем месте</w:t>
      </w:r>
      <w:r>
        <w:t>.</w:t>
      </w:r>
    </w:p>
    <w:p w:rsidR="00000000" w:rsidRDefault="00F637E5">
      <w:pPr>
        <w:pStyle w:val="a3"/>
        <w:divId w:val="2140371747"/>
      </w:pPr>
      <w:r>
        <w:t xml:space="preserve">Процедура информирования работников может состоять всего из одного предложения: </w:t>
      </w:r>
      <w:proofErr w:type="gramStart"/>
      <w:r>
        <w:t>«Информир</w:t>
      </w:r>
      <w:r>
        <w:t>ование работников об условиях труда на их рабочих местах, уровнях профессиональных рисков, а также о предоставляемых им гарантиях, полагающихся компенсациях осуществляется в форме внесения соответствующей информации в трудовой договор работника на основани</w:t>
      </w:r>
      <w:r>
        <w:t>и</w:t>
      </w:r>
      <w:r>
        <w:t xml:space="preserve"> </w:t>
      </w:r>
      <w:hyperlink r:id="rId14" w:anchor="/document/99/901807664/ZA00ML22OF/" w:tooltip="" w:history="1">
        <w:r>
          <w:rPr>
            <w:rStyle w:val="a4"/>
          </w:rPr>
          <w:t>статьи 57</w:t>
        </w:r>
      </w:hyperlink>
      <w:r>
        <w:t xml:space="preserve"> ТК РФ, ознакомления работников с результатами специальной оценки условий труда на основании статей</w:t>
      </w:r>
      <w:r>
        <w:t xml:space="preserve"> </w:t>
      </w:r>
      <w:hyperlink r:id="rId15" w:anchor="/document/99/499067392/XA00MAM2NB/" w:tooltip="" w:history="1">
        <w:r>
          <w:rPr>
            <w:rStyle w:val="a4"/>
          </w:rPr>
          <w:t>5</w:t>
        </w:r>
      </w:hyperlink>
      <w:r>
        <w:t xml:space="preserve"> и</w:t>
      </w:r>
      <w:r>
        <w:t xml:space="preserve"> </w:t>
      </w:r>
      <w:hyperlink r:id="rId16" w:anchor="/document/99/499067392/XA00MDI2O1/" w:tooltip="" w:history="1">
        <w:r>
          <w:rPr>
            <w:rStyle w:val="a4"/>
          </w:rPr>
          <w:t>15</w:t>
        </w:r>
      </w:hyperlink>
      <w:r>
        <w:t xml:space="preserve"> Федерального закона от 28.12.2013 г. № 426-ФЗ «О специальной оценке условий</w:t>
      </w:r>
      <w:proofErr w:type="gramEnd"/>
      <w:r>
        <w:t xml:space="preserve"> труда», а также путем размещения соответствующей информации </w:t>
      </w:r>
      <w:r>
        <w:t>на официальном сайте организации на основании</w:t>
      </w:r>
      <w:r>
        <w:t xml:space="preserve"> </w:t>
      </w:r>
      <w:hyperlink r:id="rId17" w:anchor="/document/99/499067392/XA00MDI2O1/" w:tooltip="" w:history="1">
        <w:r>
          <w:rPr>
            <w:rStyle w:val="a4"/>
          </w:rPr>
          <w:t>статьи 15</w:t>
        </w:r>
      </w:hyperlink>
      <w:r>
        <w:t xml:space="preserve"> Федерального закона от 28.12.2013 г. № 426-ФЗ «О специальной оценке условий труда»</w:t>
      </w:r>
      <w:r>
        <w:t>.</w:t>
      </w:r>
    </w:p>
    <w:p w:rsidR="00000000" w:rsidRDefault="00F637E5">
      <w:pPr>
        <w:pStyle w:val="a3"/>
        <w:divId w:val="2140371747"/>
      </w:pPr>
      <w:r>
        <w:t xml:space="preserve">Если планируете информировать </w:t>
      </w:r>
      <w:r>
        <w:t>работников в иных формах, которые не предусмотрены законодательством, то также включите их в описание процедуры. Например, информирование работников на заседаниях комитета или комиссии по охране труда, в уголках по охране труда, в отдельном разделе на сайт</w:t>
      </w:r>
      <w:r>
        <w:t>е организации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 xml:space="preserve">Обеспечение оптимальных режимов труда и отдыха. </w:t>
      </w:r>
      <w:r>
        <w:t xml:space="preserve">Укажите мероприятия, которые предотвращают возможность травмирования работников, заболевания из-за </w:t>
      </w:r>
      <w:proofErr w:type="spellStart"/>
      <w:r>
        <w:t>переутомляемости</w:t>
      </w:r>
      <w:proofErr w:type="spellEnd"/>
      <w:r>
        <w:t xml:space="preserve"> и воздействия психофизических факторов. Например, установите перерывы два раз</w:t>
      </w:r>
      <w:r>
        <w:t>а в день по 15 минут, помимо перерыва на обед</w:t>
      </w:r>
      <w:r>
        <w:t>.</w:t>
      </w:r>
    </w:p>
    <w:p w:rsidR="00000000" w:rsidRDefault="00F637E5">
      <w:pPr>
        <w:pStyle w:val="a3"/>
        <w:divId w:val="2140371747"/>
      </w:pPr>
      <w:r>
        <w:t>Обычно вопросы, которые касаются режима труда и отдыха, описывают в документах организации. Например, в Правилах внутреннего трудового распорядка, в ЛПА, которые устанавливают порядок организации сменной работ</w:t>
      </w:r>
      <w:r>
        <w:t>ы, или в трудовых договорах. Сделайте ссылки в разделе с процедурами на все ЛПА, которые регулируют вопрос режима труда и отдыха. Тогда не нужно подробно описывать реализуемые меры в положении о СУОТ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 xml:space="preserve">Обеспечение работников </w:t>
      </w:r>
      <w:proofErr w:type="gramStart"/>
      <w:r>
        <w:rPr>
          <w:rStyle w:val="a6"/>
        </w:rPr>
        <w:t>СИЗ</w:t>
      </w:r>
      <w:proofErr w:type="gramEnd"/>
      <w:r>
        <w:rPr>
          <w:rStyle w:val="a6"/>
        </w:rPr>
        <w:t>, смывающими и обезвреживающи</w:t>
      </w:r>
      <w:r>
        <w:rPr>
          <w:rStyle w:val="a6"/>
        </w:rPr>
        <w:t>ми средствами. </w:t>
      </w:r>
      <w:r>
        <w:t>Разработайте процедуру на основании</w:t>
      </w:r>
      <w:r>
        <w:t xml:space="preserve"> </w:t>
      </w:r>
      <w:hyperlink r:id="rId18" w:anchor="/document/99/902161801/" w:tooltip="" w:history="1">
        <w:r>
          <w:rPr>
            <w:rStyle w:val="a4"/>
          </w:rPr>
          <w:t xml:space="preserve">приказа </w:t>
        </w:r>
        <w:proofErr w:type="spellStart"/>
        <w:r>
          <w:rPr>
            <w:rStyle w:val="a4"/>
          </w:rPr>
          <w:t>Минздравсоцразвития</w:t>
        </w:r>
        <w:proofErr w:type="spellEnd"/>
        <w:r>
          <w:rPr>
            <w:rStyle w:val="a4"/>
          </w:rPr>
          <w:t xml:space="preserve"> от 01.062009 г. N 290н</w:t>
        </w:r>
      </w:hyperlink>
      <w:r>
        <w:t xml:space="preserve">. Установите порядок, как </w:t>
      </w:r>
      <w:proofErr w:type="gramStart"/>
      <w:r>
        <w:t>выявлять потребность в СИЗ</w:t>
      </w:r>
      <w:proofErr w:type="gramEnd"/>
      <w:r>
        <w:t>, и порядок обеспечения СИЗ,</w:t>
      </w:r>
      <w:r>
        <w:t xml:space="preserve"> смывающими и обезвреживающими средствами. Опишите, как учитывать, хранить, дезактивировать, стирать и ремонтировать СИЗ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 xml:space="preserve">Обеспечение работников молоком и другими равноценными пищевыми продуктами, лечебно-профилактическим питанием. </w:t>
      </w:r>
      <w:r>
        <w:t>Разработайте процедуру н</w:t>
      </w:r>
      <w:r>
        <w:t>а основании</w:t>
      </w:r>
      <w:r>
        <w:t xml:space="preserve"> </w:t>
      </w:r>
      <w:hyperlink r:id="rId19" w:anchor="/document/99/902153698/" w:tooltip="" w:history="1">
        <w:r>
          <w:rPr>
            <w:rStyle w:val="a4"/>
          </w:rPr>
          <w:t xml:space="preserve">приказа </w:t>
        </w:r>
        <w:proofErr w:type="spellStart"/>
        <w:r>
          <w:rPr>
            <w:rStyle w:val="a4"/>
          </w:rPr>
          <w:t>Минздравсоцразвития</w:t>
        </w:r>
        <w:proofErr w:type="spellEnd"/>
        <w:r>
          <w:rPr>
            <w:rStyle w:val="a4"/>
          </w:rPr>
          <w:t xml:space="preserve"> от 16.02.2009 г. N 45н </w:t>
        </w:r>
      </w:hyperlink>
      <w:r>
        <w:t>. Установите</w:t>
      </w:r>
      <w:r>
        <w:rPr>
          <w:rStyle w:val="a6"/>
        </w:rPr>
        <w:t xml:space="preserve"> </w:t>
      </w:r>
      <w:r>
        <w:t>порядок</w:t>
      </w:r>
      <w:r>
        <w:rPr>
          <w:rStyle w:val="a6"/>
        </w:rPr>
        <w:t xml:space="preserve"> </w:t>
      </w:r>
      <w:r>
        <w:t>предоставления таких продуктов работникам</w:t>
      </w:r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>Реагирование на аварии, несчастные случаи и профессион</w:t>
      </w:r>
      <w:r>
        <w:rPr>
          <w:rStyle w:val="a6"/>
        </w:rPr>
        <w:t xml:space="preserve">альные заболевания. </w:t>
      </w:r>
      <w:r>
        <w:t>Установите внутренний порядок расследования аварий,</w:t>
      </w:r>
      <w:r>
        <w:t xml:space="preserve"> </w:t>
      </w:r>
      <w:hyperlink r:id="rId20" w:anchor="/document/12/141800/" w:tooltip="" w:history="1">
        <w:r>
          <w:rPr>
            <w:rStyle w:val="a4"/>
          </w:rPr>
          <w:t>микротравм</w:t>
        </w:r>
      </w:hyperlink>
      <w:r>
        <w:t>,</w:t>
      </w:r>
      <w:r>
        <w:t xml:space="preserve"> </w:t>
      </w:r>
      <w:hyperlink r:id="rId21" w:anchor="/document/16/30354/" w:tooltip="" w:history="1">
        <w:r>
          <w:rPr>
            <w:rStyle w:val="a4"/>
          </w:rPr>
          <w:t>несчастных случаев</w:t>
        </w:r>
      </w:hyperlink>
      <w:r>
        <w:t xml:space="preserve"> </w:t>
      </w:r>
      <w:r>
        <w:lastRenderedPageBreak/>
        <w:t>и</w:t>
      </w:r>
      <w:r>
        <w:t xml:space="preserve"> </w:t>
      </w:r>
      <w:hyperlink r:id="rId22" w:anchor="/document/16/37663/" w:tooltip="" w:history="1">
        <w:r>
          <w:rPr>
            <w:rStyle w:val="a4"/>
          </w:rPr>
          <w:t>профзаболеваний</w:t>
        </w:r>
      </w:hyperlink>
      <w:r>
        <w:t>. Разработайте процедуру расследования несчастных случаев с учетом требований статей</w:t>
      </w:r>
      <w:r>
        <w:t xml:space="preserve"> </w:t>
      </w:r>
      <w:hyperlink r:id="rId23" w:anchor="/document/99/901807664/ZA00MAG2NO/" w:tooltip="" w:history="1">
        <w:r>
          <w:rPr>
            <w:rStyle w:val="a4"/>
          </w:rPr>
          <w:t>228-231</w:t>
        </w:r>
      </w:hyperlink>
      <w:r>
        <w:t xml:space="preserve"> ТК, а также</w:t>
      </w:r>
      <w:r>
        <w:t xml:space="preserve"> </w:t>
      </w:r>
      <w:hyperlink r:id="rId24" w:anchor="/document/99/901833484/" w:tooltip="" w:history="1">
        <w:r>
          <w:rPr>
            <w:rStyle w:val="a4"/>
          </w:rPr>
          <w:t>постановления Минтруда от 24.10.2002 г. N 73</w:t>
        </w:r>
      </w:hyperlink>
      <w:r>
        <w:t>.</w:t>
      </w:r>
    </w:p>
    <w:p w:rsidR="00000000" w:rsidRDefault="00F637E5">
      <w:pPr>
        <w:pStyle w:val="a3"/>
        <w:divId w:val="2140371747"/>
      </w:pPr>
      <w:r>
        <w:rPr>
          <w:rStyle w:val="a6"/>
        </w:rPr>
        <w:t xml:space="preserve">Управление документами СУОТ. </w:t>
      </w:r>
      <w:r>
        <w:t>Установите формы и рекомендации по оформлению ЛПА. Определите необходимые связи между структу</w:t>
      </w:r>
      <w:r>
        <w:t>рными подразделениями, которые обеспечивают функционирование СУОТ. Создайте порядок разработки, согласования, утверждения и пересмотра документов СУОТ, сроки их хранения</w:t>
      </w:r>
      <w:r>
        <w:t>.</w:t>
      </w:r>
      <w:bookmarkStart w:id="0" w:name="_GoBack"/>
      <w:bookmarkEnd w:id="0"/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637E5"/>
    <w:rsid w:val="00F6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uthorabout">
    <w:name w:val="author__about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637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7E5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before="100" w:beforeAutospacing="1" w:after="100" w:afterAutospacing="1"/>
      <w:ind w:right="357"/>
    </w:pPr>
  </w:style>
  <w:style w:type="paragraph" w:customStyle="1" w:styleId="references">
    <w:name w:val="references"/>
    <w:basedOn w:val="a"/>
    <w:pPr>
      <w:spacing w:before="100" w:beforeAutospacing="1" w:after="100" w:afterAutospacing="1"/>
    </w:pPr>
    <w:rPr>
      <w:vanish/>
    </w:rPr>
  </w:style>
  <w:style w:type="paragraph" w:customStyle="1" w:styleId="footer">
    <w:name w:val="footer"/>
    <w:basedOn w:val="a"/>
    <w:pPr>
      <w:spacing w:before="750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before="100" w:beforeAutospacing="1" w:after="100" w:afterAutospacing="1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doc-tooltip">
    <w:name w:val="doc-tooltip"/>
    <w:basedOn w:val="a"/>
    <w:pPr>
      <w:spacing w:before="100" w:beforeAutospacing="1" w:after="100" w:afterAutospacing="1"/>
    </w:pPr>
    <w:rPr>
      <w:vanish/>
    </w:rPr>
  </w:style>
  <w:style w:type="paragraph" w:customStyle="1" w:styleId="doc-notes">
    <w:name w:val="doc-notes"/>
    <w:basedOn w:val="a"/>
    <w:pPr>
      <w:spacing w:before="100" w:beforeAutospacing="1" w:after="100" w:afterAutospacing="1"/>
    </w:pPr>
    <w:rPr>
      <w:vanish/>
    </w:rPr>
  </w:style>
  <w:style w:type="paragraph" w:customStyle="1" w:styleId="doc-columnsitem-title-calendar">
    <w:name w:val="doc-columns__item-title-calendar"/>
    <w:basedOn w:val="a"/>
    <w:pPr>
      <w:spacing w:before="100" w:beforeAutospacing="1" w:after="100" w:afterAutospacing="1"/>
    </w:pPr>
    <w:rPr>
      <w:rFonts w:ascii="Arial" w:hAnsi="Arial" w:cs="Arial"/>
      <w:b/>
      <w:bCs/>
      <w:color w:val="666666"/>
      <w:sz w:val="21"/>
      <w:szCs w:val="21"/>
    </w:rPr>
  </w:style>
  <w:style w:type="paragraph" w:customStyle="1" w:styleId="doc-columnsitem-title-calendar-holiday">
    <w:name w:val="doc-columns__item-title-calendar-holiday"/>
    <w:basedOn w:val="a"/>
    <w:pPr>
      <w:spacing w:before="100" w:beforeAutospacing="1" w:after="100" w:afterAutospacing="1"/>
    </w:pPr>
    <w:rPr>
      <w:rFonts w:ascii="Arial" w:hAnsi="Arial" w:cs="Arial"/>
      <w:b/>
      <w:bCs/>
      <w:color w:val="FF3333"/>
      <w:sz w:val="21"/>
      <w:szCs w:val="21"/>
    </w:rPr>
  </w:style>
  <w:style w:type="paragraph" w:customStyle="1" w:styleId="doc-columnsitem-text-press">
    <w:name w:val="doc-columns__item-text-press"/>
    <w:basedOn w:val="a"/>
    <w:pPr>
      <w:spacing w:before="60" w:after="180"/>
    </w:pPr>
  </w:style>
  <w:style w:type="character" w:customStyle="1" w:styleId="storno">
    <w:name w:val="storno"/>
    <w:basedOn w:val="a0"/>
    <w:rPr>
      <w:bdr w:val="single" w:sz="6" w:space="0" w:color="000000" w:frame="1"/>
    </w:rPr>
  </w:style>
  <w:style w:type="character" w:customStyle="1" w:styleId="incut-head-control">
    <w:name w:val="incut-head-control"/>
    <w:basedOn w:val="a0"/>
    <w:rPr>
      <w:rFonts w:ascii="Helvetica" w:hAnsi="Helvetica" w:hint="default"/>
      <w:b/>
      <w:bCs/>
      <w:sz w:val="21"/>
      <w:szCs w:val="21"/>
    </w:rPr>
  </w:style>
  <w:style w:type="paragraph" w:customStyle="1" w:styleId="content2">
    <w:name w:val="content2"/>
    <w:basedOn w:val="a"/>
    <w:pPr>
      <w:spacing w:before="100" w:beforeAutospacing="1" w:after="100" w:afterAutospacing="1"/>
    </w:pPr>
    <w:rPr>
      <w:sz w:val="21"/>
      <w:szCs w:val="21"/>
    </w:rPr>
  </w:style>
  <w:style w:type="paragraph" w:customStyle="1" w:styleId="printredaction-line">
    <w:name w:val="print_redaction-line"/>
    <w:basedOn w:val="a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uthorabout">
    <w:name w:val="author__about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637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37E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8741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1747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948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7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1408756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truda.ru/" TargetMode="External"/><Relationship Id="rId13" Type="http://schemas.openxmlformats.org/officeDocument/2006/relationships/hyperlink" Target="https://vip.1otruda.ru/" TargetMode="External"/><Relationship Id="rId18" Type="http://schemas.openxmlformats.org/officeDocument/2006/relationships/hyperlink" Target="https://vip.1otruda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vip.1otruda.ru/" TargetMode="External"/><Relationship Id="rId7" Type="http://schemas.openxmlformats.org/officeDocument/2006/relationships/hyperlink" Target="https://vip.1otruda.ru/" TargetMode="External"/><Relationship Id="rId12" Type="http://schemas.openxmlformats.org/officeDocument/2006/relationships/hyperlink" Target="https://vip.1otruda.ru/" TargetMode="External"/><Relationship Id="rId17" Type="http://schemas.openxmlformats.org/officeDocument/2006/relationships/hyperlink" Target="https://vip.1otruda.ru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vip.1otruda.ru/" TargetMode="External"/><Relationship Id="rId20" Type="http://schemas.openxmlformats.org/officeDocument/2006/relationships/hyperlink" Target="https://vip.1otrud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otruda.ru/" TargetMode="External"/><Relationship Id="rId11" Type="http://schemas.openxmlformats.org/officeDocument/2006/relationships/hyperlink" Target="https://vip.1otruda.ru/" TargetMode="External"/><Relationship Id="rId24" Type="http://schemas.openxmlformats.org/officeDocument/2006/relationships/hyperlink" Target="https://vip.1otruda.ru/" TargetMode="External"/><Relationship Id="rId5" Type="http://schemas.openxmlformats.org/officeDocument/2006/relationships/image" Target="https://vip.1otruda.ru/system/content/image/68/1/-3558407/" TargetMode="External"/><Relationship Id="rId15" Type="http://schemas.openxmlformats.org/officeDocument/2006/relationships/hyperlink" Target="https://vip.1otruda.ru/" TargetMode="External"/><Relationship Id="rId23" Type="http://schemas.openxmlformats.org/officeDocument/2006/relationships/hyperlink" Target="https://vip.1otruda.ru/" TargetMode="External"/><Relationship Id="rId10" Type="http://schemas.openxmlformats.org/officeDocument/2006/relationships/hyperlink" Target="https://vip.1otruda.ru/" TargetMode="External"/><Relationship Id="rId19" Type="http://schemas.openxmlformats.org/officeDocument/2006/relationships/hyperlink" Target="https://vip.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p.1otruda.ru/" TargetMode="External"/><Relationship Id="rId14" Type="http://schemas.openxmlformats.org/officeDocument/2006/relationships/hyperlink" Target="https://vip.1otruda.ru/" TargetMode="External"/><Relationship Id="rId22" Type="http://schemas.openxmlformats.org/officeDocument/2006/relationships/hyperlink" Target="https://vip.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2020-11-24T11:08:00Z</dcterms:created>
  <dcterms:modified xsi:type="dcterms:W3CDTF">2020-11-24T11:08:00Z</dcterms:modified>
</cp:coreProperties>
</file>