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D3" w:rsidRDefault="00E779D3" w:rsidP="00E779D3">
      <w:pPr>
        <w:jc w:val="center"/>
      </w:pPr>
    </w:p>
    <w:p w:rsidR="00E779D3" w:rsidRDefault="00E779D3" w:rsidP="00E779D3">
      <w:pPr>
        <w:jc w:val="center"/>
      </w:pPr>
    </w:p>
    <w:p w:rsidR="00E779D3" w:rsidRDefault="00E779D3" w:rsidP="00E779D3">
      <w:pPr>
        <w:jc w:val="center"/>
      </w:pPr>
    </w:p>
    <w:p w:rsidR="00E779D3" w:rsidRDefault="00E779D3" w:rsidP="00E779D3">
      <w:pPr>
        <w:jc w:val="center"/>
      </w:pPr>
    </w:p>
    <w:p w:rsidR="00E779D3" w:rsidRDefault="00B210F3" w:rsidP="00E779D3">
      <w:pPr>
        <w:jc w:val="center"/>
      </w:pPr>
      <w:r>
        <w:rPr>
          <w:noProof/>
        </w:rPr>
        <w:drawing>
          <wp:inline distT="0" distB="0" distL="0" distR="0">
            <wp:extent cx="1337945" cy="1591945"/>
            <wp:effectExtent l="19050" t="0" r="0" b="0"/>
            <wp:docPr id="29" name="Рисунок 2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59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9D3" w:rsidRDefault="00E779D3" w:rsidP="00E779D3">
      <w:pPr>
        <w:jc w:val="center"/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spacing w:line="360" w:lineRule="auto"/>
        <w:jc w:val="center"/>
        <w:rPr>
          <w:b/>
          <w:sz w:val="48"/>
          <w:szCs w:val="48"/>
        </w:rPr>
      </w:pPr>
      <w:r w:rsidRPr="00E779D3">
        <w:rPr>
          <w:b/>
          <w:sz w:val="48"/>
          <w:szCs w:val="48"/>
        </w:rPr>
        <w:t>ОСНОВНЫЕ ИТОГИ ИСПОЛНЕНИЯ БЮДЖЕТА УСТЬ-КАТАВСКОГО ГОРОДСКОГО ОКРУГА</w:t>
      </w:r>
    </w:p>
    <w:p w:rsidR="00AC7EB7" w:rsidRPr="00E779D3" w:rsidRDefault="00AC7EB7" w:rsidP="00E779D3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за 201</w:t>
      </w:r>
      <w:r w:rsidR="00F64C0F">
        <w:rPr>
          <w:b/>
          <w:sz w:val="48"/>
          <w:szCs w:val="48"/>
        </w:rPr>
        <w:t>6</w:t>
      </w:r>
      <w:r>
        <w:rPr>
          <w:b/>
          <w:sz w:val="48"/>
          <w:szCs w:val="48"/>
        </w:rPr>
        <w:t xml:space="preserve"> год</w:t>
      </w: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sz w:val="28"/>
          <w:szCs w:val="28"/>
        </w:rPr>
      </w:pPr>
    </w:p>
    <w:p w:rsidR="00E779D3" w:rsidRDefault="00E779D3" w:rsidP="00E779D3">
      <w:pPr>
        <w:jc w:val="center"/>
        <w:rPr>
          <w:b/>
          <w:i/>
          <w:sz w:val="36"/>
          <w:szCs w:val="36"/>
        </w:rPr>
      </w:pPr>
    </w:p>
    <w:p w:rsidR="00E779D3" w:rsidRDefault="00E779D3" w:rsidP="00E779D3">
      <w:pPr>
        <w:jc w:val="center"/>
        <w:rPr>
          <w:b/>
          <w:i/>
          <w:sz w:val="36"/>
          <w:szCs w:val="36"/>
        </w:rPr>
      </w:pPr>
    </w:p>
    <w:p w:rsidR="00E779D3" w:rsidRDefault="00E779D3" w:rsidP="00E779D3">
      <w:pPr>
        <w:jc w:val="center"/>
        <w:rPr>
          <w:b/>
          <w:i/>
          <w:sz w:val="36"/>
          <w:szCs w:val="36"/>
        </w:rPr>
      </w:pPr>
    </w:p>
    <w:p w:rsidR="00E779D3" w:rsidRDefault="00E779D3" w:rsidP="00E779D3">
      <w:pPr>
        <w:jc w:val="center"/>
        <w:rPr>
          <w:b/>
          <w:i/>
          <w:sz w:val="36"/>
          <w:szCs w:val="36"/>
        </w:rPr>
      </w:pPr>
    </w:p>
    <w:p w:rsidR="00E779D3" w:rsidRDefault="00E779D3" w:rsidP="00E779D3">
      <w:pPr>
        <w:jc w:val="center"/>
        <w:rPr>
          <w:b/>
          <w:i/>
          <w:sz w:val="36"/>
          <w:szCs w:val="36"/>
        </w:rPr>
      </w:pPr>
    </w:p>
    <w:p w:rsidR="00E779D3" w:rsidRDefault="00E779D3" w:rsidP="00E779D3">
      <w:pPr>
        <w:jc w:val="center"/>
        <w:rPr>
          <w:b/>
          <w:i/>
          <w:sz w:val="36"/>
          <w:szCs w:val="36"/>
        </w:rPr>
      </w:pPr>
    </w:p>
    <w:p w:rsidR="00E779D3" w:rsidRDefault="00E779D3" w:rsidP="00E779D3">
      <w:pPr>
        <w:jc w:val="center"/>
        <w:rPr>
          <w:b/>
          <w:i/>
          <w:sz w:val="36"/>
          <w:szCs w:val="36"/>
        </w:rPr>
      </w:pPr>
    </w:p>
    <w:p w:rsidR="00E779D3" w:rsidRDefault="00E779D3" w:rsidP="00E779D3">
      <w:pPr>
        <w:jc w:val="center"/>
        <w:rPr>
          <w:b/>
          <w:i/>
          <w:sz w:val="36"/>
          <w:szCs w:val="36"/>
        </w:rPr>
      </w:pPr>
    </w:p>
    <w:p w:rsidR="00E779D3" w:rsidRPr="00087105" w:rsidRDefault="00F64C0F" w:rsidP="00E779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24</w:t>
      </w:r>
      <w:r w:rsidR="00E779D3" w:rsidRPr="00087105">
        <w:rPr>
          <w:b/>
          <w:sz w:val="40"/>
          <w:szCs w:val="40"/>
        </w:rPr>
        <w:t xml:space="preserve"> мая 201</w:t>
      </w:r>
      <w:r>
        <w:rPr>
          <w:b/>
          <w:sz w:val="40"/>
          <w:szCs w:val="40"/>
        </w:rPr>
        <w:t>7</w:t>
      </w:r>
      <w:r w:rsidR="00E779D3" w:rsidRPr="00087105">
        <w:rPr>
          <w:b/>
          <w:sz w:val="40"/>
          <w:szCs w:val="40"/>
        </w:rPr>
        <w:t xml:space="preserve"> года</w:t>
      </w:r>
    </w:p>
    <w:p w:rsidR="00E779D3" w:rsidRPr="00B60EEE" w:rsidRDefault="00E779D3" w:rsidP="00B60EEE">
      <w:pPr>
        <w:jc w:val="center"/>
        <w:rPr>
          <w:b/>
          <w:sz w:val="40"/>
          <w:szCs w:val="40"/>
        </w:rPr>
      </w:pPr>
      <w:r w:rsidRPr="00087105">
        <w:rPr>
          <w:b/>
          <w:sz w:val="40"/>
          <w:szCs w:val="40"/>
        </w:rPr>
        <w:t>Усть-Катав</w:t>
      </w:r>
    </w:p>
    <w:p w:rsidR="00E779D3" w:rsidRDefault="00E779D3" w:rsidP="00C6274A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</w:p>
    <w:p w:rsidR="0052506D" w:rsidRDefault="0052506D" w:rsidP="00E779D3">
      <w:pPr>
        <w:pStyle w:val="a3"/>
        <w:jc w:val="center"/>
        <w:rPr>
          <w:sz w:val="32"/>
          <w:szCs w:val="32"/>
        </w:rPr>
      </w:pPr>
    </w:p>
    <w:p w:rsidR="00E779D3" w:rsidRDefault="00E779D3" w:rsidP="00E779D3">
      <w:pPr>
        <w:pStyle w:val="a3"/>
        <w:jc w:val="center"/>
        <w:rPr>
          <w:sz w:val="32"/>
          <w:szCs w:val="32"/>
        </w:rPr>
      </w:pPr>
      <w:r w:rsidRPr="00692E7D">
        <w:rPr>
          <w:sz w:val="32"/>
          <w:szCs w:val="32"/>
        </w:rPr>
        <w:t>Параметры исполнения бюджета</w:t>
      </w:r>
    </w:p>
    <w:p w:rsidR="00E779D3" w:rsidRPr="00692E7D" w:rsidRDefault="00E779D3" w:rsidP="00E779D3">
      <w:pPr>
        <w:pStyle w:val="a3"/>
        <w:jc w:val="center"/>
        <w:rPr>
          <w:sz w:val="32"/>
          <w:szCs w:val="32"/>
        </w:rPr>
      </w:pPr>
      <w:r w:rsidRPr="00692E7D">
        <w:rPr>
          <w:sz w:val="32"/>
          <w:szCs w:val="32"/>
        </w:rPr>
        <w:t>Усть-Катавского городского округа</w:t>
      </w:r>
    </w:p>
    <w:p w:rsidR="00E779D3" w:rsidRPr="00B60EEE" w:rsidRDefault="00E779D3" w:rsidP="00B60EEE">
      <w:pPr>
        <w:pStyle w:val="a3"/>
        <w:jc w:val="center"/>
        <w:rPr>
          <w:sz w:val="32"/>
          <w:szCs w:val="32"/>
        </w:rPr>
      </w:pPr>
      <w:r w:rsidRPr="00692E7D">
        <w:rPr>
          <w:sz w:val="32"/>
          <w:szCs w:val="32"/>
        </w:rPr>
        <w:t>за 201</w:t>
      </w:r>
      <w:r w:rsidR="00F64C0F">
        <w:rPr>
          <w:sz w:val="32"/>
          <w:szCs w:val="32"/>
        </w:rPr>
        <w:t>6 г</w:t>
      </w:r>
      <w:r w:rsidRPr="00692E7D">
        <w:rPr>
          <w:sz w:val="32"/>
          <w:szCs w:val="32"/>
        </w:rPr>
        <w:t>од</w:t>
      </w:r>
    </w:p>
    <w:p w:rsidR="00E779D3" w:rsidRDefault="00E779D3" w:rsidP="00E779D3"/>
    <w:p w:rsidR="00E779D3" w:rsidRDefault="00B210F3" w:rsidP="00E779D3">
      <w:pPr>
        <w:tabs>
          <w:tab w:val="left" w:pos="8145"/>
        </w:tabs>
        <w:ind w:left="360" w:firstLine="348"/>
        <w:jc w:val="center"/>
      </w:pPr>
      <w:r>
        <w:rPr>
          <w:noProof/>
        </w:rPr>
        <w:drawing>
          <wp:inline distT="0" distB="0" distL="0" distR="0">
            <wp:extent cx="4741545" cy="3149600"/>
            <wp:effectExtent l="0" t="0" r="0" b="0"/>
            <wp:docPr id="30" name="Объект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2506D" w:rsidRDefault="0052506D" w:rsidP="0052506D">
      <w:pPr>
        <w:ind w:left="360" w:firstLine="360"/>
        <w:jc w:val="both"/>
        <w:rPr>
          <w:sz w:val="28"/>
          <w:szCs w:val="28"/>
        </w:rPr>
      </w:pPr>
    </w:p>
    <w:p w:rsidR="0052506D" w:rsidRDefault="0052506D" w:rsidP="0052506D">
      <w:pPr>
        <w:ind w:left="360" w:firstLine="360"/>
        <w:jc w:val="both"/>
        <w:rPr>
          <w:sz w:val="28"/>
          <w:szCs w:val="28"/>
        </w:rPr>
      </w:pPr>
    </w:p>
    <w:p w:rsidR="0052506D" w:rsidRDefault="0052506D" w:rsidP="0052506D">
      <w:pPr>
        <w:ind w:left="360" w:firstLine="360"/>
        <w:jc w:val="both"/>
        <w:rPr>
          <w:sz w:val="28"/>
          <w:szCs w:val="28"/>
        </w:rPr>
      </w:pPr>
    </w:p>
    <w:p w:rsidR="0052506D" w:rsidRDefault="0052506D" w:rsidP="0052506D">
      <w:pPr>
        <w:ind w:left="360" w:firstLine="360"/>
        <w:jc w:val="both"/>
        <w:rPr>
          <w:sz w:val="28"/>
          <w:szCs w:val="28"/>
        </w:rPr>
      </w:pPr>
    </w:p>
    <w:p w:rsidR="00EF70CA" w:rsidRDefault="00EF70CA" w:rsidP="0052506D">
      <w:pPr>
        <w:ind w:left="360" w:firstLine="360"/>
        <w:jc w:val="both"/>
        <w:rPr>
          <w:sz w:val="28"/>
          <w:szCs w:val="28"/>
        </w:rPr>
      </w:pPr>
    </w:p>
    <w:p w:rsidR="00EF70CA" w:rsidRDefault="00EF70CA" w:rsidP="0052506D">
      <w:pPr>
        <w:ind w:left="360" w:firstLine="360"/>
        <w:jc w:val="both"/>
        <w:rPr>
          <w:sz w:val="28"/>
          <w:szCs w:val="28"/>
        </w:rPr>
      </w:pPr>
    </w:p>
    <w:p w:rsidR="0052506D" w:rsidRDefault="0052506D" w:rsidP="0052506D">
      <w:pPr>
        <w:ind w:left="360" w:firstLine="360"/>
        <w:jc w:val="both"/>
        <w:rPr>
          <w:sz w:val="28"/>
          <w:szCs w:val="28"/>
        </w:rPr>
      </w:pPr>
    </w:p>
    <w:p w:rsidR="0052506D" w:rsidRDefault="0052506D" w:rsidP="0052506D">
      <w:pPr>
        <w:tabs>
          <w:tab w:val="left" w:pos="3780"/>
        </w:tabs>
        <w:ind w:left="360" w:firstLine="360"/>
        <w:jc w:val="both"/>
        <w:rPr>
          <w:sz w:val="28"/>
          <w:szCs w:val="28"/>
        </w:rPr>
      </w:pPr>
      <w:r w:rsidRPr="003171C4">
        <w:rPr>
          <w:b/>
          <w:sz w:val="28"/>
          <w:szCs w:val="28"/>
        </w:rPr>
        <w:t xml:space="preserve">Доходы </w:t>
      </w:r>
      <w:r w:rsidRPr="00AB5F68">
        <w:rPr>
          <w:b/>
          <w:sz w:val="28"/>
          <w:szCs w:val="28"/>
        </w:rPr>
        <w:t xml:space="preserve">бюджета </w:t>
      </w:r>
      <w:proofErr w:type="spellStart"/>
      <w:r w:rsidRPr="00AB5F68">
        <w:rPr>
          <w:b/>
          <w:sz w:val="28"/>
          <w:szCs w:val="28"/>
        </w:rPr>
        <w:t>Усть-Катавского</w:t>
      </w:r>
      <w:proofErr w:type="spellEnd"/>
      <w:r w:rsidRPr="00AB5F68">
        <w:rPr>
          <w:b/>
          <w:sz w:val="28"/>
          <w:szCs w:val="28"/>
        </w:rPr>
        <w:t xml:space="preserve"> городского округа за 201</w:t>
      </w:r>
      <w:r>
        <w:rPr>
          <w:b/>
          <w:sz w:val="28"/>
          <w:szCs w:val="28"/>
        </w:rPr>
        <w:t>6</w:t>
      </w:r>
      <w:r w:rsidRPr="00AB5F68">
        <w:rPr>
          <w:b/>
          <w:sz w:val="28"/>
          <w:szCs w:val="28"/>
        </w:rPr>
        <w:t xml:space="preserve"> год</w:t>
      </w:r>
      <w:r w:rsidRPr="00E14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52506D" w:rsidRPr="005873E0" w:rsidRDefault="00B210F3" w:rsidP="0052506D">
      <w:pPr>
        <w:ind w:left="360" w:firstLine="360"/>
        <w:jc w:val="both"/>
      </w:pPr>
      <w:r>
        <w:rPr>
          <w:noProof/>
        </w:rPr>
        <w:drawing>
          <wp:inline distT="0" distB="0" distL="0" distR="0">
            <wp:extent cx="5570855" cy="2709545"/>
            <wp:effectExtent l="0" t="0" r="0" b="0"/>
            <wp:docPr id="31" name="Объект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506D" w:rsidRDefault="0052506D" w:rsidP="0052506D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</w:p>
    <w:p w:rsidR="0052506D" w:rsidRDefault="0052506D" w:rsidP="0052506D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</w:p>
    <w:p w:rsidR="0052506D" w:rsidRDefault="0052506D" w:rsidP="0052506D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</w:p>
    <w:p w:rsidR="0052506D" w:rsidRDefault="0052506D" w:rsidP="0052506D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</w:p>
    <w:p w:rsidR="0052506D" w:rsidRDefault="0052506D" w:rsidP="0052506D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</w:p>
    <w:p w:rsidR="0052506D" w:rsidRDefault="0052506D" w:rsidP="0052506D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</w:p>
    <w:p w:rsidR="0052506D" w:rsidRDefault="0052506D" w:rsidP="0052506D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</w:p>
    <w:p w:rsidR="002D6E74" w:rsidRDefault="002D6E74" w:rsidP="0052506D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</w:p>
    <w:p w:rsidR="0052506D" w:rsidRPr="00AB5F68" w:rsidRDefault="0052506D" w:rsidP="0052506D">
      <w:pPr>
        <w:tabs>
          <w:tab w:val="left" w:pos="8145"/>
        </w:tabs>
        <w:ind w:left="360" w:firstLine="348"/>
        <w:jc w:val="center"/>
        <w:rPr>
          <w:b/>
          <w:sz w:val="28"/>
          <w:szCs w:val="28"/>
        </w:rPr>
      </w:pPr>
      <w:r w:rsidRPr="00AB5F68">
        <w:rPr>
          <w:b/>
          <w:sz w:val="28"/>
          <w:szCs w:val="28"/>
        </w:rPr>
        <w:lastRenderedPageBreak/>
        <w:t>Структура налоговых и неналоговых доходов бюджета</w:t>
      </w:r>
    </w:p>
    <w:p w:rsidR="0052506D" w:rsidRPr="0052506D" w:rsidRDefault="0052506D" w:rsidP="0052506D">
      <w:pPr>
        <w:ind w:left="360" w:firstLine="348"/>
        <w:jc w:val="center"/>
        <w:rPr>
          <w:sz w:val="28"/>
          <w:szCs w:val="28"/>
        </w:rPr>
      </w:pPr>
      <w:proofErr w:type="spellStart"/>
      <w:r w:rsidRPr="00AB5F68">
        <w:rPr>
          <w:b/>
          <w:sz w:val="28"/>
          <w:szCs w:val="28"/>
        </w:rPr>
        <w:t>Усть-Катавского</w:t>
      </w:r>
      <w:proofErr w:type="spellEnd"/>
      <w:r w:rsidRPr="00AB5F68">
        <w:rPr>
          <w:b/>
          <w:sz w:val="28"/>
          <w:szCs w:val="28"/>
        </w:rPr>
        <w:t xml:space="preserve"> городского округа за 201</w:t>
      </w:r>
      <w:r>
        <w:rPr>
          <w:b/>
          <w:sz w:val="28"/>
          <w:szCs w:val="28"/>
        </w:rPr>
        <w:t>6</w:t>
      </w:r>
      <w:r w:rsidRPr="00AB5F68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FC6CEF">
        <w:rPr>
          <w:sz w:val="28"/>
          <w:szCs w:val="28"/>
        </w:rPr>
        <w:t xml:space="preserve"> </w:t>
      </w:r>
      <w:r w:rsidR="00B210F3">
        <w:rPr>
          <w:noProof/>
          <w:sz w:val="28"/>
          <w:szCs w:val="28"/>
        </w:rPr>
        <w:drawing>
          <wp:inline distT="0" distB="0" distL="0" distR="0">
            <wp:extent cx="4690745" cy="3556000"/>
            <wp:effectExtent l="0" t="0" r="0" b="0"/>
            <wp:docPr id="32" name="Объект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506D" w:rsidRDefault="0052506D" w:rsidP="0052506D">
      <w:pPr>
        <w:ind w:right="639"/>
        <w:jc w:val="center"/>
        <w:rPr>
          <w:b/>
          <w:sz w:val="28"/>
          <w:szCs w:val="28"/>
        </w:rPr>
      </w:pPr>
    </w:p>
    <w:p w:rsidR="0052506D" w:rsidRPr="00AB5F68" w:rsidRDefault="0052506D" w:rsidP="0052506D">
      <w:pPr>
        <w:ind w:right="639"/>
        <w:jc w:val="center"/>
        <w:rPr>
          <w:b/>
          <w:sz w:val="28"/>
          <w:szCs w:val="28"/>
        </w:rPr>
      </w:pPr>
      <w:r w:rsidRPr="00AB5F68">
        <w:rPr>
          <w:b/>
          <w:sz w:val="28"/>
          <w:szCs w:val="28"/>
        </w:rPr>
        <w:t>Динамика поступлений по основным доходным источникам бюджета городского округа в 201</w:t>
      </w:r>
      <w:r>
        <w:rPr>
          <w:b/>
          <w:sz w:val="28"/>
          <w:szCs w:val="28"/>
        </w:rPr>
        <w:t>6</w:t>
      </w:r>
      <w:r w:rsidRPr="00AB5F68">
        <w:rPr>
          <w:b/>
          <w:sz w:val="28"/>
          <w:szCs w:val="28"/>
        </w:rPr>
        <w:t xml:space="preserve"> году (млн. руб.) </w:t>
      </w:r>
    </w:p>
    <w:p w:rsidR="0052506D" w:rsidRDefault="00FC5B44" w:rsidP="0052506D">
      <w:pPr>
        <w:ind w:right="639"/>
        <w:jc w:val="center"/>
        <w:rPr>
          <w:b/>
          <w:sz w:val="40"/>
          <w:szCs w:val="40"/>
        </w:rPr>
      </w:pPr>
      <w:r w:rsidRPr="00FC5B44">
        <w:rPr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2" type="#_x0000_t61" style="position:absolute;left:0;text-align:left;margin-left:49.85pt;margin-top:6.7pt;width:137.35pt;height:70.5pt;z-index:251650560" adj="13312,42143">
            <v:textbox style="mso-next-textbox:#_x0000_s1042">
              <w:txbxContent>
                <w:p w:rsidR="00EF2303" w:rsidRPr="00957160" w:rsidRDefault="00EF2303" w:rsidP="0052506D">
                  <w:pPr>
                    <w:rPr>
                      <w:sz w:val="22"/>
                      <w:szCs w:val="22"/>
                    </w:rPr>
                  </w:pPr>
                  <w:r w:rsidRPr="00957160">
                    <w:rPr>
                      <w:sz w:val="22"/>
                      <w:szCs w:val="22"/>
                    </w:rPr>
                    <w:t>За счет увеличения ФОТ ФГУП «УКВЗ» в течение 2016г. на 8,8%, поэтапное увеличение ФОТ в бюджетной сфере.</w:t>
                  </w:r>
                </w:p>
              </w:txbxContent>
            </v:textbox>
          </v:shape>
        </w:pict>
      </w:r>
    </w:p>
    <w:p w:rsidR="0052506D" w:rsidRPr="00BF1CC0" w:rsidRDefault="00FC5B44" w:rsidP="0052506D">
      <w:pPr>
        <w:ind w:right="639"/>
        <w:rPr>
          <w:b/>
          <w:sz w:val="40"/>
          <w:szCs w:val="40"/>
        </w:rPr>
      </w:pPr>
      <w:r w:rsidRPr="00FC5B44">
        <w:rPr>
          <w:noProof/>
          <w:sz w:val="28"/>
          <w:szCs w:val="28"/>
        </w:rPr>
        <w:pict>
          <v:shape id="_x0000_s1043" type="#_x0000_t61" style="position:absolute;margin-left:214.25pt;margin-top:19.25pt;width:135pt;height:76.5pt;z-index:251651584" adj="2648,64193">
            <v:textbox style="mso-next-textbox:#_x0000_s1043">
              <w:txbxContent>
                <w:p w:rsidR="00EF2303" w:rsidRDefault="00EF2303" w:rsidP="0052506D">
                  <w:r>
                    <w:t>Увеличение стоимости родительской платы за посещение детей ДОУ, за оздоровление в загородном лагере «Ребячья Республика»</w:t>
                  </w:r>
                </w:p>
              </w:txbxContent>
            </v:textbox>
          </v:shape>
        </w:pict>
      </w:r>
    </w:p>
    <w:p w:rsidR="0052506D" w:rsidRDefault="00FC5B44" w:rsidP="0052506D">
      <w:pPr>
        <w:ind w:left="54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2" type="#_x0000_t68" style="position:absolute;left:0;text-align:left;margin-left:392.6pt;margin-top:261pt;width:71.25pt;height:30.4pt;z-index:251660800" adj="7420,5586">
            <v:textbox style="mso-next-textbox:#_x0000_s1052">
              <w:txbxContent>
                <w:p w:rsidR="00EF2303" w:rsidRPr="0052506D" w:rsidRDefault="00EF2303" w:rsidP="0052506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+8,8</w:t>
                  </w:r>
                  <w:r w:rsidRPr="0052506D">
                    <w:rPr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6" type="#_x0000_t61" style="position:absolute;left:0;text-align:left;margin-left:392.6pt;margin-top:189pt;width:112.15pt;height:67.5pt;z-index:251654656" adj="11806,33264">
            <v:textbox style="mso-next-textbox:#_x0000_s1046">
              <w:txbxContent>
                <w:p w:rsidR="00EF2303" w:rsidRPr="00957160" w:rsidRDefault="00EF2303" w:rsidP="0052506D">
                  <w:pPr>
                    <w:rPr>
                      <w:sz w:val="22"/>
                      <w:szCs w:val="22"/>
                    </w:rPr>
                  </w:pPr>
                  <w:r w:rsidRPr="00957160">
                    <w:rPr>
                      <w:sz w:val="22"/>
                      <w:szCs w:val="22"/>
                    </w:rPr>
                    <w:t>Увеличение количества заявок на приобретение муниципального  имущества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61" style="position:absolute;left:0;text-align:left;margin-left:349.25pt;margin-top:134.25pt;width:95.95pt;height:42pt;z-index:251653632" adj="2488,52843">
            <v:textbox style="mso-next-textbox:#_x0000_s1045">
              <w:txbxContent>
                <w:p w:rsidR="00EF2303" w:rsidRDefault="00EF2303" w:rsidP="0052506D">
                  <w:r>
                    <w:t>Погашение задолженности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4" type="#_x0000_t61" style="position:absolute;left:0;text-align:left;margin-left:289.5pt;margin-top:78pt;width:155.7pt;height:45pt;z-index:251652608" adj="1602,77616">
            <v:textbox style="mso-next-textbox:#_x0000_s1044">
              <w:txbxContent>
                <w:p w:rsidR="00EF2303" w:rsidRPr="00957160" w:rsidRDefault="00EF2303" w:rsidP="0052506D">
                  <w:pPr>
                    <w:rPr>
                      <w:sz w:val="22"/>
                      <w:szCs w:val="22"/>
                    </w:rPr>
                  </w:pPr>
                  <w:r w:rsidRPr="00957160">
                    <w:rPr>
                      <w:sz w:val="22"/>
                      <w:szCs w:val="22"/>
                    </w:rPr>
                    <w:t xml:space="preserve">Погашение задолженности по решениям  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957160">
                    <w:rPr>
                      <w:sz w:val="22"/>
                      <w:szCs w:val="22"/>
                    </w:rPr>
                    <w:t xml:space="preserve">рбитражного суда от ООО «Эдельвейс»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3" type="#_x0000_t68" style="position:absolute;left:0;text-align:left;margin-left:107.7pt;margin-top:138.55pt;width:61.8pt;height:27.55pt;z-index:251661824" adj="7241,3041">
            <v:textbox style="mso-next-textbox:#_x0000_s1053">
              <w:txbxContent>
                <w:p w:rsidR="00EF2303" w:rsidRPr="00957160" w:rsidRDefault="00EF2303" w:rsidP="0052506D">
                  <w:pPr>
                    <w:rPr>
                      <w:sz w:val="20"/>
                      <w:szCs w:val="20"/>
                    </w:rPr>
                  </w:pPr>
                  <w:r w:rsidRPr="00957160">
                    <w:rPr>
                      <w:sz w:val="20"/>
                      <w:szCs w:val="20"/>
                    </w:rPr>
                    <w:t>+8,8%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5" type="#_x0000_t68" style="position:absolute;left:0;text-align:left;margin-left:331.15pt;margin-top:250.05pt;width:1in;height:25.7pt;z-index:251663872" adj="7942,3600">
            <v:textbox style="mso-next-textbox:#_x0000_s1055">
              <w:txbxContent>
                <w:p w:rsidR="00EF2303" w:rsidRPr="0052506D" w:rsidRDefault="00EF2303" w:rsidP="00957160">
                  <w:pPr>
                    <w:jc w:val="center"/>
                    <w:rPr>
                      <w:sz w:val="18"/>
                      <w:szCs w:val="18"/>
                    </w:rPr>
                  </w:pPr>
                  <w:r w:rsidRPr="0052506D">
                    <w:rPr>
                      <w:sz w:val="20"/>
                      <w:szCs w:val="20"/>
                    </w:rPr>
                    <w:t>+18,5</w:t>
                  </w:r>
                  <w:r>
                    <w:rPr>
                      <w:sz w:val="20"/>
                      <w:szCs w:val="20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1" type="#_x0000_t68" style="position:absolute;left:0;text-align:left;margin-left:178.75pt;margin-top:219.5pt;width:66.05pt;height:30.55pt;z-index:251649536" adj="10429,3875">
            <v:textbox style="mso-next-textbox:#_x0000_s1041">
              <w:txbxContent>
                <w:p w:rsidR="00EF2303" w:rsidRPr="00957160" w:rsidRDefault="00EF2303" w:rsidP="00957160">
                  <w:pPr>
                    <w:jc w:val="center"/>
                    <w:rPr>
                      <w:sz w:val="20"/>
                      <w:szCs w:val="20"/>
                    </w:rPr>
                  </w:pPr>
                  <w:r w:rsidRPr="00957160">
                    <w:rPr>
                      <w:sz w:val="20"/>
                      <w:szCs w:val="20"/>
                    </w:rPr>
                    <w:t>+29,7%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54" type="#_x0000_t68" style="position:absolute;left:0;text-align:left;margin-left:259.8pt;margin-top:244.85pt;width:71.35pt;height:24.15pt;z-index:251662848">
            <v:textbox style="mso-next-textbox:#_x0000_s1054">
              <w:txbxContent>
                <w:p w:rsidR="00EF2303" w:rsidRPr="0052506D" w:rsidRDefault="00EF2303" w:rsidP="00957160">
                  <w:pPr>
                    <w:jc w:val="center"/>
                    <w:rPr>
                      <w:sz w:val="20"/>
                      <w:szCs w:val="20"/>
                    </w:rPr>
                  </w:pPr>
                  <w:r w:rsidRPr="0052506D">
                    <w:rPr>
                      <w:sz w:val="20"/>
                      <w:szCs w:val="20"/>
                    </w:rPr>
                    <w:t>+3,4%</w:t>
                  </w:r>
                </w:p>
              </w:txbxContent>
            </v:textbox>
          </v:shape>
        </w:pict>
      </w:r>
      <w:r w:rsidR="0052506D">
        <w:rPr>
          <w:rStyle w:val="a7"/>
          <w:noProof/>
          <w:sz w:val="28"/>
          <w:szCs w:val="28"/>
        </w:rPr>
        <w:footnoteReference w:id="2"/>
      </w:r>
      <w:r>
        <w:rPr>
          <w:noProof/>
          <w:sz w:val="28"/>
          <w:szCs w:val="28"/>
        </w:rPr>
        <w:pict>
          <v:rect id="_x0000_s1049" style="position:absolute;left:0;text-align:left;margin-left:252.75pt;margin-top:300.05pt;width:36.75pt;height:21.75pt;z-index:251657728;mso-position-horizontal-relative:text;mso-position-vertical-relative:text" filled="f" stroked="f">
            <v:textbox style="mso-next-textbox:#_x0000_s1049">
              <w:txbxContent>
                <w:p w:rsidR="00EF2303" w:rsidRDefault="00EF2303" w:rsidP="0052506D">
                  <w:r>
                    <w:t>15,2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0" style="position:absolute;left:0;text-align:left;margin-left:322.5pt;margin-top:305.55pt;width:35.6pt;height:23.35pt;z-index:251658752;mso-position-horizontal-relative:text;mso-position-vertical-relative:text" filled="f" stroked="f">
            <v:textbox style="mso-next-textbox:#_x0000_s1050">
              <w:txbxContent>
                <w:p w:rsidR="00EF2303" w:rsidRDefault="00EF2303" w:rsidP="0052506D">
                  <w:r>
                    <w:t>14,7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51" style="position:absolute;left:0;text-align:left;margin-left:398.25pt;margin-top:323pt;width:60pt;height:23.2pt;z-index:251659776;mso-position-horizontal-relative:text;mso-position-vertical-relative:text" filled="f" stroked="f">
            <v:textbox style="mso-next-textbox:#_x0000_s1051">
              <w:txbxContent>
                <w:p w:rsidR="00EF2303" w:rsidRDefault="00EF2303" w:rsidP="0052506D">
                  <w:r>
                    <w:t>8,8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8" style="position:absolute;left:0;text-align:left;margin-left:164pt;margin-top:291.4pt;width:45.2pt;height:30.8pt;z-index:251656704;mso-position-horizontal-relative:text;mso-position-vertical-relative:text" filled="f" stroked="f">
            <v:textbox style="mso-next-textbox:#_x0000_s1048">
              <w:txbxContent>
                <w:p w:rsidR="00EF2303" w:rsidRDefault="00EF2303" w:rsidP="0052506D">
                  <w:r>
                    <w:t>25,2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47" style="position:absolute;left:0;text-align:left;margin-left:85.8pt;margin-top:300.45pt;width:45.6pt;height:22.55pt;z-index:251655680;mso-position-horizontal-relative:text;mso-position-vertical-relative:text" filled="f" stroked="f">
            <v:textbox style="mso-next-textbox:#_x0000_s1047">
              <w:txbxContent>
                <w:p w:rsidR="00EF2303" w:rsidRDefault="00EF2303" w:rsidP="0052506D">
                  <w:r>
                    <w:t>97,4</w:t>
                  </w:r>
                </w:p>
                <w:p w:rsidR="00EF2303" w:rsidRDefault="00EF2303" w:rsidP="0052506D"/>
              </w:txbxContent>
            </v:textbox>
          </v:rect>
        </w:pict>
      </w:r>
      <w:r w:rsidR="00B210F3">
        <w:rPr>
          <w:noProof/>
          <w:sz w:val="28"/>
          <w:szCs w:val="28"/>
        </w:rPr>
        <w:drawing>
          <wp:inline distT="0" distB="0" distL="0" distR="0">
            <wp:extent cx="6113145" cy="4402455"/>
            <wp:effectExtent l="0" t="0" r="0" b="0"/>
            <wp:docPr id="33" name="Объект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52506D">
        <w:rPr>
          <w:sz w:val="28"/>
          <w:szCs w:val="28"/>
        </w:rPr>
        <w:t xml:space="preserve">  </w:t>
      </w:r>
    </w:p>
    <w:p w:rsidR="0052506D" w:rsidRPr="00FD7BB4" w:rsidRDefault="0052506D" w:rsidP="0052506D">
      <w:pPr>
        <w:jc w:val="center"/>
        <w:rPr>
          <w:b/>
          <w:sz w:val="28"/>
          <w:szCs w:val="28"/>
        </w:rPr>
      </w:pPr>
      <w:r w:rsidRPr="00FD7BB4">
        <w:rPr>
          <w:b/>
          <w:sz w:val="28"/>
          <w:szCs w:val="28"/>
        </w:rPr>
        <w:lastRenderedPageBreak/>
        <w:t>ФИНАНСОВАЯ ПОМОЩЬ И СОБСТВЕННЫЕ ДОХОДЫ  БЮДЖЕТА ОКРУГА ЗА 201</w:t>
      </w:r>
      <w:r>
        <w:rPr>
          <w:b/>
          <w:sz w:val="28"/>
          <w:szCs w:val="28"/>
        </w:rPr>
        <w:t>5</w:t>
      </w:r>
      <w:proofErr w:type="gramStart"/>
      <w:r w:rsidRPr="00FD7BB4">
        <w:rPr>
          <w:b/>
          <w:sz w:val="28"/>
          <w:szCs w:val="28"/>
        </w:rPr>
        <w:t xml:space="preserve"> И</w:t>
      </w:r>
      <w:proofErr w:type="gramEnd"/>
      <w:r w:rsidRPr="00FD7BB4">
        <w:rPr>
          <w:b/>
          <w:sz w:val="28"/>
          <w:szCs w:val="28"/>
        </w:rPr>
        <w:t xml:space="preserve">  201</w:t>
      </w:r>
      <w:r>
        <w:rPr>
          <w:b/>
          <w:sz w:val="28"/>
          <w:szCs w:val="28"/>
        </w:rPr>
        <w:t>6</w:t>
      </w:r>
      <w:r w:rsidRPr="00FD7BB4">
        <w:rPr>
          <w:b/>
          <w:sz w:val="28"/>
          <w:szCs w:val="28"/>
        </w:rPr>
        <w:t xml:space="preserve"> ГГ. </w:t>
      </w:r>
    </w:p>
    <w:p w:rsidR="0052506D" w:rsidRPr="00FD7BB4" w:rsidRDefault="0052506D" w:rsidP="0052506D">
      <w:pPr>
        <w:jc w:val="center"/>
        <w:rPr>
          <w:b/>
        </w:rPr>
      </w:pPr>
    </w:p>
    <w:p w:rsidR="007F4B1A" w:rsidRDefault="00FC5B44" w:rsidP="0052506D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74" type="#_x0000_t13" style="position:absolute;margin-left:184.5pt;margin-top:117.15pt;width:95.25pt;height:38.25pt;z-index:251664896">
            <v:textbox style="mso-next-textbox:#_x0000_s1074">
              <w:txbxContent>
                <w:p w:rsidR="00EF2303" w:rsidRDefault="00EF2303" w:rsidP="0052506D">
                  <w:r>
                    <w:t>+16,5%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13" style="position:absolute;margin-left:147.2pt;margin-top:44.4pt;width:89.8pt;height:36pt;z-index:251665920">
            <v:textbox style="mso-next-textbox:#_x0000_s1075">
              <w:txbxContent>
                <w:p w:rsidR="00EF2303" w:rsidRDefault="00EF2303" w:rsidP="0052506D">
                  <w:r>
                    <w:t>+7,2%</w:t>
                  </w:r>
                </w:p>
              </w:txbxContent>
            </v:textbox>
          </v:shape>
        </w:pict>
      </w:r>
      <w:r w:rsidR="00B210F3">
        <w:rPr>
          <w:noProof/>
        </w:rPr>
        <w:drawing>
          <wp:inline distT="0" distB="0" distL="0" distR="0">
            <wp:extent cx="5147945" cy="2709545"/>
            <wp:effectExtent l="0" t="0" r="0" b="0"/>
            <wp:docPr id="35" name="Объект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6439" w:rsidRDefault="00856439" w:rsidP="0052506D"/>
    <w:p w:rsidR="00856439" w:rsidRDefault="00856439" w:rsidP="0052506D"/>
    <w:p w:rsidR="0052506D" w:rsidRDefault="00856439" w:rsidP="0052506D">
      <w:r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>
            <wp:extent cx="5191125" cy="3103028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6439" w:rsidRDefault="00856439" w:rsidP="00856439">
      <w:pPr>
        <w:ind w:left="-709"/>
        <w:jc w:val="center"/>
        <w:rPr>
          <w:b/>
          <w:sz w:val="28"/>
          <w:szCs w:val="28"/>
        </w:rPr>
      </w:pPr>
    </w:p>
    <w:p w:rsidR="00856439" w:rsidRDefault="00856439" w:rsidP="00856439">
      <w:pPr>
        <w:ind w:left="-709"/>
        <w:jc w:val="center"/>
        <w:rPr>
          <w:b/>
          <w:sz w:val="28"/>
          <w:szCs w:val="28"/>
        </w:rPr>
      </w:pPr>
    </w:p>
    <w:p w:rsidR="00856439" w:rsidRPr="00856439" w:rsidRDefault="00856439" w:rsidP="00856439">
      <w:pPr>
        <w:ind w:left="-709"/>
        <w:jc w:val="center"/>
        <w:rPr>
          <w:b/>
          <w:sz w:val="28"/>
          <w:szCs w:val="28"/>
        </w:rPr>
      </w:pPr>
      <w:r w:rsidRPr="00856439">
        <w:rPr>
          <w:b/>
          <w:sz w:val="28"/>
          <w:szCs w:val="28"/>
        </w:rPr>
        <w:t>Реализация майских Указов Президента Российской Федерации в 2016 году</w:t>
      </w:r>
    </w:p>
    <w:p w:rsidR="00856439" w:rsidRDefault="00856439" w:rsidP="00856439">
      <w:pPr>
        <w:jc w:val="center"/>
      </w:pPr>
      <w:r>
        <w:t xml:space="preserve">                                                                                                                                     в  руб.</w:t>
      </w:r>
    </w:p>
    <w:tbl>
      <w:tblPr>
        <w:tblW w:w="10761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2"/>
        <w:gridCol w:w="1432"/>
        <w:gridCol w:w="1407"/>
        <w:gridCol w:w="1428"/>
        <w:gridCol w:w="1192"/>
      </w:tblGrid>
      <w:tr w:rsidR="00856439" w:rsidRPr="00AC748F" w:rsidTr="00856439">
        <w:trPr>
          <w:trHeight w:val="765"/>
        </w:trPr>
        <w:tc>
          <w:tcPr>
            <w:tcW w:w="5302" w:type="dxa"/>
            <w:shd w:val="clear" w:color="auto" w:fill="E5B8B7"/>
            <w:noWrap/>
            <w:vAlign w:val="center"/>
          </w:tcPr>
          <w:p w:rsidR="00856439" w:rsidRPr="00AC748F" w:rsidRDefault="00856439" w:rsidP="00043DFC">
            <w:pPr>
              <w:jc w:val="center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Категории работников бюджетной сферы</w:t>
            </w:r>
          </w:p>
        </w:tc>
        <w:tc>
          <w:tcPr>
            <w:tcW w:w="1432" w:type="dxa"/>
            <w:shd w:val="clear" w:color="auto" w:fill="E5B8B7"/>
            <w:vAlign w:val="center"/>
          </w:tcPr>
          <w:p w:rsidR="00856439" w:rsidRPr="00AC748F" w:rsidRDefault="00856439" w:rsidP="00043DFC">
            <w:pPr>
              <w:jc w:val="center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2014 год</w:t>
            </w:r>
          </w:p>
        </w:tc>
        <w:tc>
          <w:tcPr>
            <w:tcW w:w="1407" w:type="dxa"/>
            <w:shd w:val="clear" w:color="auto" w:fill="E5B8B7"/>
            <w:noWrap/>
            <w:vAlign w:val="center"/>
          </w:tcPr>
          <w:p w:rsidR="00856439" w:rsidRPr="00AC748F" w:rsidRDefault="00856439" w:rsidP="00043DFC">
            <w:pPr>
              <w:jc w:val="center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2015 год</w:t>
            </w:r>
          </w:p>
        </w:tc>
        <w:tc>
          <w:tcPr>
            <w:tcW w:w="1428" w:type="dxa"/>
            <w:shd w:val="clear" w:color="auto" w:fill="E5B8B7"/>
            <w:vAlign w:val="center"/>
          </w:tcPr>
          <w:p w:rsidR="00856439" w:rsidRPr="00AC748F" w:rsidRDefault="00856439" w:rsidP="00043DFC">
            <w:pPr>
              <w:jc w:val="center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AC748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2" w:type="dxa"/>
            <w:shd w:val="clear" w:color="auto" w:fill="E5B8B7"/>
            <w:vAlign w:val="center"/>
          </w:tcPr>
          <w:p w:rsidR="00856439" w:rsidRPr="00AC748F" w:rsidRDefault="00856439" w:rsidP="00043DFC">
            <w:pPr>
              <w:jc w:val="center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 xml:space="preserve">Рост от 2014 года, </w:t>
            </w:r>
            <w:proofErr w:type="gramStart"/>
            <w:r w:rsidRPr="00AC748F">
              <w:rPr>
                <w:sz w:val="28"/>
                <w:szCs w:val="28"/>
              </w:rPr>
              <w:t>в</w:t>
            </w:r>
            <w:proofErr w:type="gramEnd"/>
            <w:r w:rsidRPr="00AC748F">
              <w:rPr>
                <w:sz w:val="28"/>
                <w:szCs w:val="28"/>
              </w:rPr>
              <w:t xml:space="preserve"> %</w:t>
            </w:r>
          </w:p>
        </w:tc>
      </w:tr>
      <w:tr w:rsidR="00856439" w:rsidRPr="00AC748F" w:rsidTr="00856439">
        <w:trPr>
          <w:trHeight w:val="255"/>
        </w:trPr>
        <w:tc>
          <w:tcPr>
            <w:tcW w:w="5302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Педагогические работники школ</w:t>
            </w:r>
          </w:p>
        </w:tc>
        <w:tc>
          <w:tcPr>
            <w:tcW w:w="1432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27 352,59</w:t>
            </w:r>
          </w:p>
        </w:tc>
        <w:tc>
          <w:tcPr>
            <w:tcW w:w="1407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29 676,61</w:t>
            </w:r>
          </w:p>
        </w:tc>
        <w:tc>
          <w:tcPr>
            <w:tcW w:w="1428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30 929,05</w:t>
            </w:r>
          </w:p>
        </w:tc>
        <w:tc>
          <w:tcPr>
            <w:tcW w:w="1192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113%</w:t>
            </w:r>
          </w:p>
        </w:tc>
      </w:tr>
      <w:tr w:rsidR="00856439" w:rsidRPr="00AC748F" w:rsidTr="00856439">
        <w:trPr>
          <w:trHeight w:val="255"/>
        </w:trPr>
        <w:tc>
          <w:tcPr>
            <w:tcW w:w="5302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Педагогические работники ДОУ</w:t>
            </w:r>
          </w:p>
        </w:tc>
        <w:tc>
          <w:tcPr>
            <w:tcW w:w="1432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20 269,76</w:t>
            </w:r>
          </w:p>
        </w:tc>
        <w:tc>
          <w:tcPr>
            <w:tcW w:w="1407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22 344,84</w:t>
            </w:r>
          </w:p>
        </w:tc>
        <w:tc>
          <w:tcPr>
            <w:tcW w:w="1428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23 859,02</w:t>
            </w:r>
          </w:p>
        </w:tc>
        <w:tc>
          <w:tcPr>
            <w:tcW w:w="1192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114%</w:t>
            </w:r>
          </w:p>
        </w:tc>
      </w:tr>
      <w:tr w:rsidR="00856439" w:rsidRPr="00AC748F" w:rsidTr="00856439">
        <w:trPr>
          <w:trHeight w:val="795"/>
        </w:trPr>
        <w:tc>
          <w:tcPr>
            <w:tcW w:w="5302" w:type="dxa"/>
            <w:shd w:val="clear" w:color="auto" w:fill="E5B8B7"/>
          </w:tcPr>
          <w:p w:rsidR="00856439" w:rsidRPr="00AC748F" w:rsidRDefault="00856439" w:rsidP="00043DFC">
            <w:pPr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 xml:space="preserve">Педагогические работники  учреждений </w:t>
            </w:r>
            <w:proofErr w:type="spellStart"/>
            <w:r w:rsidRPr="00AC748F">
              <w:rPr>
                <w:sz w:val="28"/>
                <w:szCs w:val="28"/>
              </w:rPr>
              <w:t>допобразования</w:t>
            </w:r>
            <w:proofErr w:type="spellEnd"/>
            <w:r w:rsidRPr="00AC748F">
              <w:rPr>
                <w:sz w:val="28"/>
                <w:szCs w:val="28"/>
              </w:rPr>
              <w:t xml:space="preserve"> (ДЮСШ, ЦДТ, </w:t>
            </w:r>
            <w:proofErr w:type="spellStart"/>
            <w:r w:rsidRPr="00AC748F">
              <w:rPr>
                <w:sz w:val="28"/>
                <w:szCs w:val="28"/>
              </w:rPr>
              <w:t>ЦДЮТиЭ</w:t>
            </w:r>
            <w:proofErr w:type="spellEnd"/>
            <w:r w:rsidRPr="00AC748F">
              <w:rPr>
                <w:sz w:val="28"/>
                <w:szCs w:val="28"/>
              </w:rPr>
              <w:t>)</w:t>
            </w:r>
          </w:p>
        </w:tc>
        <w:tc>
          <w:tcPr>
            <w:tcW w:w="1432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22 208,37</w:t>
            </w:r>
          </w:p>
        </w:tc>
        <w:tc>
          <w:tcPr>
            <w:tcW w:w="1407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25 795,78</w:t>
            </w:r>
          </w:p>
        </w:tc>
        <w:tc>
          <w:tcPr>
            <w:tcW w:w="1428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28 782,16</w:t>
            </w:r>
          </w:p>
        </w:tc>
        <w:tc>
          <w:tcPr>
            <w:tcW w:w="1192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118%</w:t>
            </w:r>
          </w:p>
        </w:tc>
      </w:tr>
      <w:tr w:rsidR="00856439" w:rsidRPr="00AC748F" w:rsidTr="00856439">
        <w:trPr>
          <w:trHeight w:val="602"/>
        </w:trPr>
        <w:tc>
          <w:tcPr>
            <w:tcW w:w="5302" w:type="dxa"/>
            <w:shd w:val="clear" w:color="auto" w:fill="E5B8B7"/>
          </w:tcPr>
          <w:p w:rsidR="00856439" w:rsidRPr="00AC748F" w:rsidRDefault="00856439" w:rsidP="00043DFC">
            <w:pPr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 xml:space="preserve">Педагогические работники  учреждений </w:t>
            </w:r>
            <w:proofErr w:type="spellStart"/>
            <w:r w:rsidRPr="00AC748F">
              <w:rPr>
                <w:sz w:val="28"/>
                <w:szCs w:val="28"/>
              </w:rPr>
              <w:t>допобразования</w:t>
            </w:r>
            <w:proofErr w:type="spellEnd"/>
            <w:r w:rsidRPr="00AC748F">
              <w:rPr>
                <w:sz w:val="28"/>
                <w:szCs w:val="28"/>
              </w:rPr>
              <w:t xml:space="preserve"> (ДМШ)</w:t>
            </w:r>
          </w:p>
        </w:tc>
        <w:tc>
          <w:tcPr>
            <w:tcW w:w="1432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24 111,83</w:t>
            </w:r>
          </w:p>
        </w:tc>
        <w:tc>
          <w:tcPr>
            <w:tcW w:w="1407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26265,67</w:t>
            </w:r>
          </w:p>
        </w:tc>
        <w:tc>
          <w:tcPr>
            <w:tcW w:w="1428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27 969,49</w:t>
            </w:r>
          </w:p>
        </w:tc>
        <w:tc>
          <w:tcPr>
            <w:tcW w:w="1192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130%</w:t>
            </w:r>
          </w:p>
        </w:tc>
      </w:tr>
      <w:tr w:rsidR="00856439" w:rsidRPr="00AC748F" w:rsidTr="00856439">
        <w:trPr>
          <w:trHeight w:val="304"/>
        </w:trPr>
        <w:tc>
          <w:tcPr>
            <w:tcW w:w="5302" w:type="dxa"/>
            <w:shd w:val="clear" w:color="auto" w:fill="E5B8B7"/>
          </w:tcPr>
          <w:p w:rsidR="00856439" w:rsidRPr="00AC748F" w:rsidRDefault="00856439" w:rsidP="00043DFC">
            <w:pPr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Работники учреждений культуры</w:t>
            </w:r>
          </w:p>
        </w:tc>
        <w:tc>
          <w:tcPr>
            <w:tcW w:w="1432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15 628,03</w:t>
            </w:r>
          </w:p>
        </w:tc>
        <w:tc>
          <w:tcPr>
            <w:tcW w:w="1407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bCs/>
                <w:sz w:val="28"/>
                <w:szCs w:val="28"/>
              </w:rPr>
              <w:t>16969,30</w:t>
            </w:r>
          </w:p>
        </w:tc>
        <w:tc>
          <w:tcPr>
            <w:tcW w:w="1428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18 191,23</w:t>
            </w:r>
          </w:p>
        </w:tc>
        <w:tc>
          <w:tcPr>
            <w:tcW w:w="1192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116%</w:t>
            </w:r>
          </w:p>
        </w:tc>
      </w:tr>
      <w:tr w:rsidR="00856439" w:rsidRPr="00AC748F" w:rsidTr="00856439">
        <w:trPr>
          <w:trHeight w:val="330"/>
        </w:trPr>
        <w:tc>
          <w:tcPr>
            <w:tcW w:w="5302" w:type="dxa"/>
            <w:shd w:val="clear" w:color="auto" w:fill="E5B8B7"/>
          </w:tcPr>
          <w:p w:rsidR="00856439" w:rsidRPr="00AC748F" w:rsidRDefault="00856439" w:rsidP="00043DFC">
            <w:pPr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Социальные работники (КЦСОН)</w:t>
            </w:r>
          </w:p>
        </w:tc>
        <w:tc>
          <w:tcPr>
            <w:tcW w:w="1432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15 851,24</w:t>
            </w:r>
          </w:p>
        </w:tc>
        <w:tc>
          <w:tcPr>
            <w:tcW w:w="1407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16 607,00</w:t>
            </w:r>
          </w:p>
        </w:tc>
        <w:tc>
          <w:tcPr>
            <w:tcW w:w="1428" w:type="dxa"/>
            <w:shd w:val="clear" w:color="auto" w:fill="E5B8B7"/>
            <w:vAlign w:val="bottom"/>
          </w:tcPr>
          <w:p w:rsidR="00856439" w:rsidRPr="00AC748F" w:rsidRDefault="00856439" w:rsidP="00043DFC">
            <w:pPr>
              <w:jc w:val="center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16 649,00</w:t>
            </w:r>
          </w:p>
        </w:tc>
        <w:tc>
          <w:tcPr>
            <w:tcW w:w="1192" w:type="dxa"/>
            <w:shd w:val="clear" w:color="auto" w:fill="E5B8B7"/>
            <w:noWrap/>
            <w:vAlign w:val="bottom"/>
          </w:tcPr>
          <w:p w:rsidR="00856439" w:rsidRPr="00AC748F" w:rsidRDefault="00856439" w:rsidP="00043DFC">
            <w:pPr>
              <w:jc w:val="right"/>
              <w:rPr>
                <w:sz w:val="28"/>
                <w:szCs w:val="28"/>
              </w:rPr>
            </w:pPr>
            <w:r w:rsidRPr="00AC748F">
              <w:rPr>
                <w:sz w:val="28"/>
                <w:szCs w:val="28"/>
              </w:rPr>
              <w:t>116%</w:t>
            </w:r>
          </w:p>
        </w:tc>
      </w:tr>
    </w:tbl>
    <w:p w:rsidR="0052506D" w:rsidRDefault="0052506D" w:rsidP="0052506D"/>
    <w:p w:rsidR="0052506D" w:rsidRDefault="00454575" w:rsidP="0052506D">
      <w:r>
        <w:rPr>
          <w:noProof/>
        </w:rPr>
        <w:drawing>
          <wp:inline distT="0" distB="0" distL="0" distR="0">
            <wp:extent cx="5940425" cy="4617157"/>
            <wp:effectExtent l="19050" t="0" r="3175" b="0"/>
            <wp:docPr id="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06D" w:rsidRDefault="0052506D" w:rsidP="0052506D"/>
    <w:tbl>
      <w:tblPr>
        <w:tblW w:w="9180" w:type="dxa"/>
        <w:tblInd w:w="-252" w:type="dxa"/>
        <w:tblLook w:val="0000"/>
      </w:tblPr>
      <w:tblGrid>
        <w:gridCol w:w="5440"/>
        <w:gridCol w:w="1780"/>
        <w:gridCol w:w="1960"/>
      </w:tblGrid>
      <w:tr w:rsidR="005A452C" w:rsidTr="005A452C">
        <w:trPr>
          <w:trHeight w:val="40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52C" w:rsidRPr="005A452C" w:rsidRDefault="005A452C" w:rsidP="00826427">
            <w:pPr>
              <w:ind w:right="-1368"/>
              <w:rPr>
                <w:b/>
                <w:sz w:val="30"/>
                <w:szCs w:val="30"/>
              </w:rPr>
            </w:pPr>
            <w:r w:rsidRPr="005A452C">
              <w:rPr>
                <w:b/>
                <w:sz w:val="30"/>
                <w:szCs w:val="30"/>
              </w:rPr>
              <w:t xml:space="preserve">Расходы бюджета </w:t>
            </w:r>
            <w:proofErr w:type="spellStart"/>
            <w:r w:rsidRPr="005A452C">
              <w:rPr>
                <w:b/>
                <w:sz w:val="30"/>
                <w:szCs w:val="30"/>
              </w:rPr>
              <w:t>Усть-Катавского</w:t>
            </w:r>
            <w:proofErr w:type="spellEnd"/>
            <w:r w:rsidRPr="005A452C">
              <w:rPr>
                <w:b/>
                <w:sz w:val="30"/>
                <w:szCs w:val="30"/>
              </w:rPr>
              <w:t xml:space="preserve"> городского округа в 201</w:t>
            </w:r>
            <w:r w:rsidR="00826427">
              <w:rPr>
                <w:b/>
                <w:sz w:val="30"/>
                <w:szCs w:val="30"/>
              </w:rPr>
              <w:t>6</w:t>
            </w:r>
            <w:r w:rsidRPr="005A452C">
              <w:rPr>
                <w:b/>
                <w:sz w:val="30"/>
                <w:szCs w:val="30"/>
              </w:rPr>
              <w:t xml:space="preserve"> году</w:t>
            </w:r>
          </w:p>
        </w:tc>
      </w:tr>
      <w:tr w:rsidR="005A452C" w:rsidTr="005A452C">
        <w:trPr>
          <w:trHeight w:val="405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452C" w:rsidRPr="005A452C" w:rsidRDefault="005A452C">
            <w:pPr>
              <w:jc w:val="center"/>
              <w:rPr>
                <w:b/>
                <w:sz w:val="30"/>
                <w:szCs w:val="30"/>
              </w:rPr>
            </w:pPr>
            <w:r w:rsidRPr="005A452C">
              <w:rPr>
                <w:b/>
                <w:sz w:val="30"/>
                <w:szCs w:val="30"/>
              </w:rPr>
              <w:t>по видам расходов</w:t>
            </w:r>
          </w:p>
        </w:tc>
      </w:tr>
      <w:tr w:rsidR="005A452C" w:rsidTr="00EF70CA">
        <w:trPr>
          <w:trHeight w:val="375"/>
        </w:trPr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452C" w:rsidRDefault="005A452C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452C" w:rsidRDefault="005A452C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452C" w:rsidRDefault="005A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</w:tr>
      <w:tr w:rsidR="005A452C" w:rsidTr="00EF70CA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5A452C" w:rsidRDefault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5A452C" w:rsidRDefault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5A452C" w:rsidRDefault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5A452C" w:rsidTr="00EF70C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5A452C" w:rsidRDefault="005A45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5A452C" w:rsidRDefault="00826427" w:rsidP="005A45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817 697,4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bottom"/>
          </w:tcPr>
          <w:p w:rsidR="005A452C" w:rsidRDefault="00826427" w:rsidP="005A45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802 706,9</w:t>
            </w:r>
          </w:p>
        </w:tc>
      </w:tr>
      <w:tr w:rsidR="005A452C" w:rsidTr="00EF70CA">
        <w:trPr>
          <w:trHeight w:val="20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452C" w:rsidRDefault="005A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306 524,4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306 441,6</w:t>
            </w:r>
          </w:p>
        </w:tc>
      </w:tr>
      <w:tr w:rsidR="005A452C" w:rsidTr="00EF70CA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452C" w:rsidRDefault="005A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198 307,6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187 900,7</w:t>
            </w:r>
          </w:p>
        </w:tc>
      </w:tr>
      <w:tr w:rsidR="005A452C" w:rsidTr="00EF70CA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452C" w:rsidRDefault="005A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150 172,3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145 742,5</w:t>
            </w:r>
          </w:p>
        </w:tc>
      </w:tr>
      <w:tr w:rsidR="005A452C" w:rsidTr="00EF70CA">
        <w:trPr>
          <w:trHeight w:val="109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452C" w:rsidRDefault="005A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22 491,8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22 491,7</w:t>
            </w:r>
          </w:p>
        </w:tc>
      </w:tr>
      <w:tr w:rsidR="005A452C" w:rsidTr="00EF70CA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452C" w:rsidRDefault="005A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123 545,4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123 545,4</w:t>
            </w:r>
          </w:p>
        </w:tc>
      </w:tr>
      <w:tr w:rsidR="005A452C" w:rsidTr="00EF70CA">
        <w:trPr>
          <w:trHeight w:val="37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5A452C" w:rsidRDefault="005A4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16 655,9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noWrap/>
            <w:vAlign w:val="center"/>
          </w:tcPr>
          <w:p w:rsidR="005A452C" w:rsidRDefault="00826427" w:rsidP="005A45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16 585,0</w:t>
            </w:r>
          </w:p>
        </w:tc>
      </w:tr>
    </w:tbl>
    <w:p w:rsidR="00596EE6" w:rsidRDefault="00596EE6" w:rsidP="00596EE6">
      <w:pPr>
        <w:jc w:val="center"/>
        <w:rPr>
          <w:sz w:val="32"/>
          <w:szCs w:val="32"/>
        </w:rPr>
      </w:pPr>
    </w:p>
    <w:tbl>
      <w:tblPr>
        <w:tblW w:w="10421" w:type="dxa"/>
        <w:tblInd w:w="-1260" w:type="dxa"/>
        <w:tblLook w:val="0000"/>
      </w:tblPr>
      <w:tblGrid>
        <w:gridCol w:w="696"/>
        <w:gridCol w:w="402"/>
        <w:gridCol w:w="402"/>
        <w:gridCol w:w="6043"/>
        <w:gridCol w:w="1457"/>
        <w:gridCol w:w="725"/>
        <w:gridCol w:w="179"/>
        <w:gridCol w:w="517"/>
      </w:tblGrid>
      <w:tr w:rsidR="004E173D" w:rsidTr="00454575">
        <w:trPr>
          <w:gridBefore w:val="1"/>
          <w:gridAfter w:val="1"/>
          <w:wBefore w:w="696" w:type="dxa"/>
          <w:wAfter w:w="517" w:type="dxa"/>
          <w:trHeight w:val="405"/>
        </w:trPr>
        <w:tc>
          <w:tcPr>
            <w:tcW w:w="92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73D" w:rsidRPr="00024F68" w:rsidRDefault="004E173D">
            <w:pPr>
              <w:jc w:val="center"/>
              <w:rPr>
                <w:b/>
                <w:sz w:val="32"/>
                <w:szCs w:val="32"/>
              </w:rPr>
            </w:pPr>
            <w:r w:rsidRPr="00024F68">
              <w:rPr>
                <w:b/>
                <w:sz w:val="32"/>
                <w:szCs w:val="32"/>
              </w:rPr>
              <w:t xml:space="preserve">Расходы бюджета </w:t>
            </w:r>
            <w:proofErr w:type="spellStart"/>
            <w:r w:rsidRPr="00024F68">
              <w:rPr>
                <w:b/>
                <w:sz w:val="32"/>
                <w:szCs w:val="32"/>
              </w:rPr>
              <w:t>Усть-Катавского</w:t>
            </w:r>
            <w:proofErr w:type="spellEnd"/>
            <w:r w:rsidRPr="00024F68">
              <w:rPr>
                <w:b/>
                <w:sz w:val="32"/>
                <w:szCs w:val="32"/>
              </w:rPr>
              <w:t xml:space="preserve"> городского округа </w:t>
            </w:r>
          </w:p>
          <w:p w:rsidR="004E173D" w:rsidRDefault="004E173D" w:rsidP="00130413">
            <w:pPr>
              <w:jc w:val="center"/>
              <w:rPr>
                <w:sz w:val="32"/>
                <w:szCs w:val="32"/>
              </w:rPr>
            </w:pPr>
            <w:r w:rsidRPr="00024F68">
              <w:rPr>
                <w:b/>
                <w:sz w:val="32"/>
                <w:szCs w:val="32"/>
              </w:rPr>
              <w:t>в 201</w:t>
            </w:r>
            <w:r w:rsidR="00130413">
              <w:rPr>
                <w:b/>
                <w:sz w:val="32"/>
                <w:szCs w:val="32"/>
              </w:rPr>
              <w:t>6</w:t>
            </w:r>
            <w:r w:rsidRPr="00024F68">
              <w:rPr>
                <w:b/>
                <w:sz w:val="32"/>
                <w:szCs w:val="32"/>
              </w:rPr>
              <w:t xml:space="preserve"> году по </w:t>
            </w:r>
            <w:r w:rsidR="00130413">
              <w:rPr>
                <w:b/>
                <w:sz w:val="32"/>
                <w:szCs w:val="32"/>
              </w:rPr>
              <w:t>муниципальным программам</w:t>
            </w:r>
          </w:p>
        </w:tc>
      </w:tr>
      <w:tr w:rsidR="004E173D" w:rsidTr="00454575">
        <w:trPr>
          <w:gridBefore w:val="1"/>
          <w:gridAfter w:val="1"/>
          <w:wBefore w:w="696" w:type="dxa"/>
          <w:wAfter w:w="517" w:type="dxa"/>
          <w:trHeight w:val="375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73D" w:rsidRDefault="004E173D">
            <w:pPr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73D" w:rsidRDefault="004E173D">
            <w:pPr>
              <w:rPr>
                <w:sz w:val="28"/>
                <w:szCs w:val="28"/>
              </w:rPr>
            </w:pPr>
          </w:p>
        </w:tc>
        <w:tc>
          <w:tcPr>
            <w:tcW w:w="8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173D" w:rsidRDefault="004E173D">
            <w:pPr>
              <w:rPr>
                <w:sz w:val="28"/>
                <w:szCs w:val="28"/>
              </w:rPr>
            </w:pPr>
          </w:p>
        </w:tc>
      </w:tr>
      <w:tr w:rsidR="004E173D" w:rsidTr="00454575">
        <w:trPr>
          <w:gridAfter w:val="2"/>
          <w:wAfter w:w="696" w:type="dxa"/>
          <w:trHeight w:val="375"/>
        </w:trPr>
        <w:tc>
          <w:tcPr>
            <w:tcW w:w="9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173D" w:rsidRDefault="00FC55F9" w:rsidP="00FC55F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r w:rsidR="004E173D">
              <w:rPr>
                <w:color w:val="000000"/>
                <w:sz w:val="28"/>
                <w:szCs w:val="28"/>
              </w:rPr>
              <w:t>р</w:t>
            </w:r>
            <w:proofErr w:type="gramEnd"/>
            <w:r w:rsidR="004E173D">
              <w:rPr>
                <w:color w:val="000000"/>
                <w:sz w:val="28"/>
                <w:szCs w:val="28"/>
              </w:rPr>
              <w:t>уб.</w:t>
            </w:r>
          </w:p>
        </w:tc>
      </w:tr>
      <w:tr w:rsidR="004E173D" w:rsidRPr="00596EE6" w:rsidTr="00454575">
        <w:trPr>
          <w:gridBefore w:val="1"/>
          <w:wBefore w:w="696" w:type="dxa"/>
          <w:trHeight w:val="540"/>
        </w:trPr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E173D" w:rsidRPr="0099505D" w:rsidRDefault="004E17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505D">
              <w:rPr>
                <w:b/>
                <w:bCs/>
                <w:color w:val="000000"/>
                <w:sz w:val="26"/>
                <w:szCs w:val="26"/>
              </w:rPr>
              <w:t>Наименование программ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E173D" w:rsidRPr="0099505D" w:rsidRDefault="004E17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505D">
              <w:rPr>
                <w:b/>
                <w:bCs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4E173D" w:rsidRPr="00596EE6" w:rsidRDefault="004E173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9505D">
              <w:rPr>
                <w:b/>
                <w:bCs/>
                <w:color w:val="000000"/>
                <w:sz w:val="26"/>
                <w:szCs w:val="26"/>
              </w:rPr>
              <w:t>Факт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"Оздоровление экологической обстановки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2016-2018 гг."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2 245,5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2 245,5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"Техническое обслуживание и модернизация системы уличного освещения с обеспечением приборного учета электроэнергии на территории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7 902,8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7 901,3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"Ремонт, содержание и повышение безопасности дорожно-транспортной инфраструктуры местного значения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25 813,8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24 563,3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"Управление инфраструктурой и строительством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 (в т.ч.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содерж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30413">
              <w:rPr>
                <w:b/>
                <w:bCs/>
                <w:color w:val="000000"/>
                <w:sz w:val="26"/>
                <w:szCs w:val="26"/>
              </w:rPr>
              <w:t>УИиС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7 402,2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7 199,8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"Обеспечение безопасности жизнедеятельности населения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3 230,8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3 193,6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"Поддержка и развитие молодых граждан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542,6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542,6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FC55F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</w:t>
            </w:r>
            <w:r w:rsidR="00FC55F9">
              <w:rPr>
                <w:b/>
                <w:bCs/>
                <w:color w:val="000000"/>
                <w:sz w:val="26"/>
                <w:szCs w:val="26"/>
              </w:rPr>
              <w:t>«</w:t>
            </w: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Организация отдыха и оздоровление детей и подростков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23 488,1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23 487,9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"Развитие образования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207 552,9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207 313,0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"Поддержка и развитие дошкольного образования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134 306,0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133 925,6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«Безопасность образовательных учреждений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гг.»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8 544,2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8 543,7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"Социальная поддержка и обслуживание граждан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204 091,0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199 331,6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"Поддержка социально-ориентированных некоммерческих организаций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гг."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719,2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719,2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"Управление муниципальными финансами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12 489,8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12 327,6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"Управление муниципальным имуществом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9 316,4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7 768,9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>МП</w:t>
            </w:r>
            <w:r w:rsidR="00FC55F9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"Развитие малого и среднего предпринимательства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4 661,2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4 661,2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«Оптимизация функций муниципального управления и повышение эффективности их обеспечения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3 777,5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3 777,5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"Поддержка и развитие культуры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71 529,4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66 043,7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"Развитие физической культуры и спорта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</w:t>
            </w:r>
            <w:r w:rsidRPr="00130413">
              <w:rPr>
                <w:b/>
                <w:bCs/>
                <w:color w:val="000000"/>
                <w:sz w:val="26"/>
                <w:szCs w:val="26"/>
              </w:rPr>
              <w:lastRenderedPageBreak/>
              <w:t>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lastRenderedPageBreak/>
              <w:t>18 174,3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18 174,3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МП "Сохранение, использование, популяризация и охрана объектов культурного наследия, находящихся в муниципальной собственности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261,9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261,4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"Развитие муниципальной службы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2014-2016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46,5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46,5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"Чистая вода" на территории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на 2009-2020гг.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98,3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98,3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 Профилактика правонарушений и преступлений на территории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в 2016 году"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194,0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194,0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"Обеспечение доступным и комфортным жильем граждан РФ" в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Усть-Катавском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городском округе на 2016-2020 годы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14 947,6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14 576,6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"Доступная среда для инвалидов и других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маломобильных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групп населения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на 2016-2020г."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445,7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445,0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МП "Повышение энергетической эффективности экономики 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Усть-Катавского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городского округа и сокращение энергетических издержек в бюджетном секторе на 2011-2020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3 069,6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3 069,6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>МП "Комплексное развитие систем коммунальной инфраструктуры муниципального образования «</w:t>
            </w:r>
            <w:proofErr w:type="spellStart"/>
            <w:r w:rsidRPr="00130413">
              <w:rPr>
                <w:b/>
                <w:bCs/>
                <w:color w:val="000000"/>
                <w:sz w:val="26"/>
                <w:szCs w:val="26"/>
              </w:rPr>
              <w:t>Усть-Катавский</w:t>
            </w:r>
            <w:proofErr w:type="spellEnd"/>
            <w:r w:rsidRPr="00130413">
              <w:rPr>
                <w:b/>
                <w:bCs/>
                <w:color w:val="000000"/>
                <w:sz w:val="26"/>
                <w:szCs w:val="26"/>
              </w:rPr>
              <w:t xml:space="preserve"> городской округ»"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1 691,9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center"/>
          </w:tcPr>
          <w:p w:rsidR="00130413" w:rsidRPr="00FC55F9" w:rsidRDefault="00130413">
            <w:pPr>
              <w:jc w:val="right"/>
              <w:rPr>
                <w:sz w:val="26"/>
                <w:szCs w:val="26"/>
              </w:rPr>
            </w:pPr>
            <w:r w:rsidRPr="00FC55F9">
              <w:rPr>
                <w:sz w:val="26"/>
                <w:szCs w:val="26"/>
              </w:rPr>
              <w:t>1 691,9</w:t>
            </w:r>
          </w:p>
        </w:tc>
      </w:tr>
      <w:tr w:rsidR="00130413" w:rsidRPr="00130413" w:rsidTr="00454575">
        <w:trPr>
          <w:gridBefore w:val="1"/>
          <w:wBefore w:w="696" w:type="dxa"/>
          <w:trHeight w:val="330"/>
        </w:trPr>
        <w:tc>
          <w:tcPr>
            <w:tcW w:w="6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13041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> </w:t>
            </w:r>
            <w:r>
              <w:rPr>
                <w:b/>
                <w:bCs/>
                <w:color w:val="000000"/>
                <w:sz w:val="26"/>
                <w:szCs w:val="26"/>
              </w:rPr>
              <w:t>ВСЕГО по МП</w:t>
            </w:r>
            <w:r w:rsidRPr="00596EE6">
              <w:rPr>
                <w:b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FC55F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>766</w:t>
            </w:r>
            <w:r w:rsidR="00FC55F9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130413">
              <w:rPr>
                <w:b/>
                <w:bCs/>
                <w:color w:val="000000"/>
                <w:sz w:val="26"/>
                <w:szCs w:val="26"/>
              </w:rPr>
              <w:t>543</w:t>
            </w:r>
            <w:r w:rsidR="00FC55F9">
              <w:rPr>
                <w:b/>
                <w:bCs/>
                <w:color w:val="000000"/>
                <w:sz w:val="26"/>
                <w:szCs w:val="26"/>
              </w:rPr>
              <w:t>,4</w:t>
            </w:r>
          </w:p>
        </w:tc>
        <w:tc>
          <w:tcPr>
            <w:tcW w:w="14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130413" w:rsidRPr="00130413" w:rsidRDefault="00130413" w:rsidP="00FC55F9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130413">
              <w:rPr>
                <w:b/>
                <w:bCs/>
                <w:color w:val="000000"/>
                <w:sz w:val="26"/>
                <w:szCs w:val="26"/>
              </w:rPr>
              <w:t>752</w:t>
            </w:r>
            <w:r w:rsidR="00FC55F9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130413">
              <w:rPr>
                <w:b/>
                <w:bCs/>
                <w:color w:val="000000"/>
                <w:sz w:val="26"/>
                <w:szCs w:val="26"/>
              </w:rPr>
              <w:t>103</w:t>
            </w:r>
            <w:r w:rsidR="00FC55F9">
              <w:rPr>
                <w:b/>
                <w:bCs/>
                <w:color w:val="000000"/>
                <w:sz w:val="26"/>
                <w:szCs w:val="26"/>
              </w:rPr>
              <w:t>,6</w:t>
            </w:r>
          </w:p>
        </w:tc>
      </w:tr>
    </w:tbl>
    <w:p w:rsidR="00692E7D" w:rsidRDefault="00692E7D">
      <w:pPr>
        <w:rPr>
          <w:sz w:val="26"/>
          <w:szCs w:val="26"/>
        </w:rPr>
      </w:pPr>
    </w:p>
    <w:p w:rsidR="00043DFC" w:rsidRDefault="00043DFC">
      <w:pPr>
        <w:rPr>
          <w:sz w:val="26"/>
          <w:szCs w:val="26"/>
        </w:rPr>
      </w:pPr>
    </w:p>
    <w:p w:rsidR="00EF2303" w:rsidRDefault="00EF2303">
      <w:pPr>
        <w:rPr>
          <w:sz w:val="26"/>
          <w:szCs w:val="26"/>
        </w:rPr>
      </w:pPr>
    </w:p>
    <w:p w:rsidR="00EF2303" w:rsidRDefault="00EF2303">
      <w:pPr>
        <w:rPr>
          <w:sz w:val="26"/>
          <w:szCs w:val="26"/>
        </w:rPr>
      </w:pPr>
    </w:p>
    <w:p w:rsidR="00EF2303" w:rsidRDefault="00EF2303">
      <w:pPr>
        <w:rPr>
          <w:sz w:val="26"/>
          <w:szCs w:val="26"/>
        </w:rPr>
      </w:pPr>
    </w:p>
    <w:p w:rsidR="00EF2303" w:rsidRDefault="00EF2303">
      <w:pPr>
        <w:rPr>
          <w:sz w:val="26"/>
          <w:szCs w:val="26"/>
        </w:rPr>
      </w:pPr>
    </w:p>
    <w:p w:rsidR="00EF2303" w:rsidRDefault="00EF2303">
      <w:pPr>
        <w:rPr>
          <w:sz w:val="26"/>
          <w:szCs w:val="26"/>
        </w:rPr>
      </w:pPr>
    </w:p>
    <w:p w:rsidR="00043DFC" w:rsidRPr="00596EE6" w:rsidRDefault="00043DFC">
      <w:pPr>
        <w:rPr>
          <w:sz w:val="26"/>
          <w:szCs w:val="26"/>
        </w:rPr>
      </w:pPr>
      <w:r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>
            <wp:extent cx="6096000" cy="3552825"/>
            <wp:effectExtent l="0" t="0" r="0" b="0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043DFC" w:rsidRPr="00596EE6" w:rsidSect="0052506D">
      <w:pgSz w:w="11906" w:h="16838"/>
      <w:pgMar w:top="360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03" w:rsidRDefault="00EF2303" w:rsidP="0052506D">
      <w:r>
        <w:separator/>
      </w:r>
    </w:p>
  </w:endnote>
  <w:endnote w:type="continuationSeparator" w:id="1">
    <w:p w:rsidR="00EF2303" w:rsidRDefault="00EF2303" w:rsidP="00525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03" w:rsidRDefault="00EF2303" w:rsidP="0052506D">
      <w:r>
        <w:separator/>
      </w:r>
    </w:p>
  </w:footnote>
  <w:footnote w:type="continuationSeparator" w:id="1">
    <w:p w:rsidR="00EF2303" w:rsidRDefault="00EF2303" w:rsidP="0052506D">
      <w:r>
        <w:continuationSeparator/>
      </w:r>
    </w:p>
  </w:footnote>
  <w:footnote w:id="2">
    <w:p w:rsidR="00EF2303" w:rsidRDefault="00EF2303" w:rsidP="0052506D">
      <w:pPr>
        <w:pStyle w:val="a5"/>
      </w:pPr>
      <w:r>
        <w:rPr>
          <w:rStyle w:val="a7"/>
        </w:rPr>
        <w:footnoteRef/>
      </w:r>
      <w: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B1F"/>
    <w:rsid w:val="000001E8"/>
    <w:rsid w:val="000002E1"/>
    <w:rsid w:val="00011181"/>
    <w:rsid w:val="00011D31"/>
    <w:rsid w:val="00012819"/>
    <w:rsid w:val="00024F68"/>
    <w:rsid w:val="0003016D"/>
    <w:rsid w:val="000310AA"/>
    <w:rsid w:val="00032B2B"/>
    <w:rsid w:val="000335B5"/>
    <w:rsid w:val="000400F6"/>
    <w:rsid w:val="00043275"/>
    <w:rsid w:val="00043DFC"/>
    <w:rsid w:val="00045828"/>
    <w:rsid w:val="000533A4"/>
    <w:rsid w:val="00053557"/>
    <w:rsid w:val="0005779E"/>
    <w:rsid w:val="00062075"/>
    <w:rsid w:val="00064E5B"/>
    <w:rsid w:val="0006691D"/>
    <w:rsid w:val="00072E40"/>
    <w:rsid w:val="00074F37"/>
    <w:rsid w:val="0007659E"/>
    <w:rsid w:val="0007674C"/>
    <w:rsid w:val="00076A8D"/>
    <w:rsid w:val="00076ACB"/>
    <w:rsid w:val="00077139"/>
    <w:rsid w:val="0007753A"/>
    <w:rsid w:val="00077DB4"/>
    <w:rsid w:val="000806A7"/>
    <w:rsid w:val="00085B37"/>
    <w:rsid w:val="00086DF1"/>
    <w:rsid w:val="00086FBF"/>
    <w:rsid w:val="00087C63"/>
    <w:rsid w:val="000912EF"/>
    <w:rsid w:val="000915EC"/>
    <w:rsid w:val="000937F4"/>
    <w:rsid w:val="000968FC"/>
    <w:rsid w:val="00097666"/>
    <w:rsid w:val="00097A55"/>
    <w:rsid w:val="000A0FB2"/>
    <w:rsid w:val="000A3587"/>
    <w:rsid w:val="000A48C7"/>
    <w:rsid w:val="000A66E2"/>
    <w:rsid w:val="000A74D5"/>
    <w:rsid w:val="000A7684"/>
    <w:rsid w:val="000A78FE"/>
    <w:rsid w:val="000A7A01"/>
    <w:rsid w:val="000A7C40"/>
    <w:rsid w:val="000B222F"/>
    <w:rsid w:val="000B4EE9"/>
    <w:rsid w:val="000B5089"/>
    <w:rsid w:val="000B7DC9"/>
    <w:rsid w:val="000C0D3D"/>
    <w:rsid w:val="000C19BB"/>
    <w:rsid w:val="000C37F4"/>
    <w:rsid w:val="000C3FA4"/>
    <w:rsid w:val="000C4A6D"/>
    <w:rsid w:val="000C4BFF"/>
    <w:rsid w:val="000D3370"/>
    <w:rsid w:val="000D3B94"/>
    <w:rsid w:val="000D458A"/>
    <w:rsid w:val="000F09B9"/>
    <w:rsid w:val="000F28F2"/>
    <w:rsid w:val="000F5B76"/>
    <w:rsid w:val="000F6F14"/>
    <w:rsid w:val="001002F8"/>
    <w:rsid w:val="00100538"/>
    <w:rsid w:val="00101279"/>
    <w:rsid w:val="0010172C"/>
    <w:rsid w:val="00103196"/>
    <w:rsid w:val="001057EB"/>
    <w:rsid w:val="00106375"/>
    <w:rsid w:val="00111FEB"/>
    <w:rsid w:val="0011395A"/>
    <w:rsid w:val="00113DDB"/>
    <w:rsid w:val="00120C50"/>
    <w:rsid w:val="00121E77"/>
    <w:rsid w:val="00130413"/>
    <w:rsid w:val="001305F9"/>
    <w:rsid w:val="00130CC4"/>
    <w:rsid w:val="001315AF"/>
    <w:rsid w:val="001352D2"/>
    <w:rsid w:val="00140D5D"/>
    <w:rsid w:val="00151BCB"/>
    <w:rsid w:val="00154A17"/>
    <w:rsid w:val="00155576"/>
    <w:rsid w:val="001629D1"/>
    <w:rsid w:val="00165BBA"/>
    <w:rsid w:val="001664CF"/>
    <w:rsid w:val="00167469"/>
    <w:rsid w:val="00170F4F"/>
    <w:rsid w:val="0017163E"/>
    <w:rsid w:val="001727BA"/>
    <w:rsid w:val="00174B18"/>
    <w:rsid w:val="0017691D"/>
    <w:rsid w:val="0017698B"/>
    <w:rsid w:val="00177EDA"/>
    <w:rsid w:val="00180E1B"/>
    <w:rsid w:val="00181B69"/>
    <w:rsid w:val="00182D6B"/>
    <w:rsid w:val="00186D04"/>
    <w:rsid w:val="00191DDB"/>
    <w:rsid w:val="00195B3E"/>
    <w:rsid w:val="001A0508"/>
    <w:rsid w:val="001A14CC"/>
    <w:rsid w:val="001A17AC"/>
    <w:rsid w:val="001A6AE3"/>
    <w:rsid w:val="001A724D"/>
    <w:rsid w:val="001B0AF6"/>
    <w:rsid w:val="001B1223"/>
    <w:rsid w:val="001B18C6"/>
    <w:rsid w:val="001B28F7"/>
    <w:rsid w:val="001B4D3E"/>
    <w:rsid w:val="001B50E4"/>
    <w:rsid w:val="001B6A8B"/>
    <w:rsid w:val="001B6E23"/>
    <w:rsid w:val="001B7D5F"/>
    <w:rsid w:val="001C0B21"/>
    <w:rsid w:val="001C1997"/>
    <w:rsid w:val="001C1F89"/>
    <w:rsid w:val="001C2321"/>
    <w:rsid w:val="001C7DF1"/>
    <w:rsid w:val="001D1D43"/>
    <w:rsid w:val="001D46B8"/>
    <w:rsid w:val="001D5356"/>
    <w:rsid w:val="001D555B"/>
    <w:rsid w:val="001D5743"/>
    <w:rsid w:val="001E6EFE"/>
    <w:rsid w:val="001E6F16"/>
    <w:rsid w:val="001E7319"/>
    <w:rsid w:val="001E7770"/>
    <w:rsid w:val="001F51E1"/>
    <w:rsid w:val="001F55CB"/>
    <w:rsid w:val="001F593E"/>
    <w:rsid w:val="00201AA1"/>
    <w:rsid w:val="0020225E"/>
    <w:rsid w:val="002038B9"/>
    <w:rsid w:val="00210929"/>
    <w:rsid w:val="00213793"/>
    <w:rsid w:val="00214EAD"/>
    <w:rsid w:val="00215FC0"/>
    <w:rsid w:val="002212E7"/>
    <w:rsid w:val="00224E96"/>
    <w:rsid w:val="00226324"/>
    <w:rsid w:val="00226384"/>
    <w:rsid w:val="0023383D"/>
    <w:rsid w:val="00237939"/>
    <w:rsid w:val="002408F2"/>
    <w:rsid w:val="002410BA"/>
    <w:rsid w:val="00244552"/>
    <w:rsid w:val="00244C65"/>
    <w:rsid w:val="00244ED0"/>
    <w:rsid w:val="0024552D"/>
    <w:rsid w:val="0024724F"/>
    <w:rsid w:val="002506CE"/>
    <w:rsid w:val="0025126C"/>
    <w:rsid w:val="00260078"/>
    <w:rsid w:val="002612C2"/>
    <w:rsid w:val="00267812"/>
    <w:rsid w:val="00267BFC"/>
    <w:rsid w:val="002702B4"/>
    <w:rsid w:val="00270605"/>
    <w:rsid w:val="00274196"/>
    <w:rsid w:val="0027607F"/>
    <w:rsid w:val="00285BD9"/>
    <w:rsid w:val="00297CE1"/>
    <w:rsid w:val="002A23F7"/>
    <w:rsid w:val="002A559E"/>
    <w:rsid w:val="002A67F3"/>
    <w:rsid w:val="002B3CC7"/>
    <w:rsid w:val="002B4843"/>
    <w:rsid w:val="002B6C3B"/>
    <w:rsid w:val="002C0BB1"/>
    <w:rsid w:val="002C421C"/>
    <w:rsid w:val="002C612E"/>
    <w:rsid w:val="002C69DF"/>
    <w:rsid w:val="002D1198"/>
    <w:rsid w:val="002D40A4"/>
    <w:rsid w:val="002D6E74"/>
    <w:rsid w:val="002E46FB"/>
    <w:rsid w:val="002E55B8"/>
    <w:rsid w:val="002F0176"/>
    <w:rsid w:val="002F219F"/>
    <w:rsid w:val="002F5FC0"/>
    <w:rsid w:val="002F6B59"/>
    <w:rsid w:val="00301BEB"/>
    <w:rsid w:val="00311A2E"/>
    <w:rsid w:val="0032317B"/>
    <w:rsid w:val="0032371F"/>
    <w:rsid w:val="0032667B"/>
    <w:rsid w:val="00330DFC"/>
    <w:rsid w:val="00331568"/>
    <w:rsid w:val="00335963"/>
    <w:rsid w:val="00340549"/>
    <w:rsid w:val="00340A48"/>
    <w:rsid w:val="0034115B"/>
    <w:rsid w:val="003427A1"/>
    <w:rsid w:val="00344384"/>
    <w:rsid w:val="00344876"/>
    <w:rsid w:val="00344D51"/>
    <w:rsid w:val="00344E07"/>
    <w:rsid w:val="00345656"/>
    <w:rsid w:val="00345A1E"/>
    <w:rsid w:val="00350F41"/>
    <w:rsid w:val="00351907"/>
    <w:rsid w:val="00353AE9"/>
    <w:rsid w:val="003553DC"/>
    <w:rsid w:val="00355DEE"/>
    <w:rsid w:val="003562CA"/>
    <w:rsid w:val="00357179"/>
    <w:rsid w:val="00362812"/>
    <w:rsid w:val="003659A2"/>
    <w:rsid w:val="00373FF2"/>
    <w:rsid w:val="003755C4"/>
    <w:rsid w:val="003819DF"/>
    <w:rsid w:val="00384ECD"/>
    <w:rsid w:val="00385B56"/>
    <w:rsid w:val="00386D03"/>
    <w:rsid w:val="00390980"/>
    <w:rsid w:val="0039440C"/>
    <w:rsid w:val="00396BC2"/>
    <w:rsid w:val="0039722F"/>
    <w:rsid w:val="00397A42"/>
    <w:rsid w:val="003A1A81"/>
    <w:rsid w:val="003B0621"/>
    <w:rsid w:val="003B0C24"/>
    <w:rsid w:val="003B60A7"/>
    <w:rsid w:val="003B636D"/>
    <w:rsid w:val="003C1FF5"/>
    <w:rsid w:val="003C50EB"/>
    <w:rsid w:val="003C6D51"/>
    <w:rsid w:val="003D096E"/>
    <w:rsid w:val="003D0CED"/>
    <w:rsid w:val="003D0E59"/>
    <w:rsid w:val="003D7A82"/>
    <w:rsid w:val="003D7C98"/>
    <w:rsid w:val="003E1A6C"/>
    <w:rsid w:val="003E2F2B"/>
    <w:rsid w:val="003E4F20"/>
    <w:rsid w:val="003E706E"/>
    <w:rsid w:val="003E77A5"/>
    <w:rsid w:val="003F323E"/>
    <w:rsid w:val="003F33CF"/>
    <w:rsid w:val="003F3813"/>
    <w:rsid w:val="003F65BB"/>
    <w:rsid w:val="003F7650"/>
    <w:rsid w:val="003F76F7"/>
    <w:rsid w:val="0040008D"/>
    <w:rsid w:val="00401177"/>
    <w:rsid w:val="00401F85"/>
    <w:rsid w:val="00405209"/>
    <w:rsid w:val="00405AAE"/>
    <w:rsid w:val="0040619F"/>
    <w:rsid w:val="00411069"/>
    <w:rsid w:val="004253D3"/>
    <w:rsid w:val="00432305"/>
    <w:rsid w:val="004331C6"/>
    <w:rsid w:val="0043436A"/>
    <w:rsid w:val="00436BBD"/>
    <w:rsid w:val="004404DA"/>
    <w:rsid w:val="004416A8"/>
    <w:rsid w:val="00443750"/>
    <w:rsid w:val="00445091"/>
    <w:rsid w:val="00446AFC"/>
    <w:rsid w:val="00452A7C"/>
    <w:rsid w:val="00453D7B"/>
    <w:rsid w:val="004541CC"/>
    <w:rsid w:val="00454231"/>
    <w:rsid w:val="00454575"/>
    <w:rsid w:val="0045556F"/>
    <w:rsid w:val="00455F7F"/>
    <w:rsid w:val="00460DD8"/>
    <w:rsid w:val="00461FD5"/>
    <w:rsid w:val="00462E1D"/>
    <w:rsid w:val="004662D0"/>
    <w:rsid w:val="00471089"/>
    <w:rsid w:val="00471221"/>
    <w:rsid w:val="0047645C"/>
    <w:rsid w:val="004808AC"/>
    <w:rsid w:val="00482879"/>
    <w:rsid w:val="0048548A"/>
    <w:rsid w:val="0049390E"/>
    <w:rsid w:val="00495C71"/>
    <w:rsid w:val="00496161"/>
    <w:rsid w:val="0049764E"/>
    <w:rsid w:val="004A1375"/>
    <w:rsid w:val="004A1AC6"/>
    <w:rsid w:val="004A5C5A"/>
    <w:rsid w:val="004A753B"/>
    <w:rsid w:val="004B0C1A"/>
    <w:rsid w:val="004B2D33"/>
    <w:rsid w:val="004B3399"/>
    <w:rsid w:val="004B5628"/>
    <w:rsid w:val="004C4236"/>
    <w:rsid w:val="004C70BF"/>
    <w:rsid w:val="004C76F8"/>
    <w:rsid w:val="004C7893"/>
    <w:rsid w:val="004C7B85"/>
    <w:rsid w:val="004D004A"/>
    <w:rsid w:val="004D62B0"/>
    <w:rsid w:val="004E040A"/>
    <w:rsid w:val="004E0D78"/>
    <w:rsid w:val="004E173D"/>
    <w:rsid w:val="004E4FE8"/>
    <w:rsid w:val="004E7617"/>
    <w:rsid w:val="004F1F1D"/>
    <w:rsid w:val="004F68AC"/>
    <w:rsid w:val="00500657"/>
    <w:rsid w:val="00500EC2"/>
    <w:rsid w:val="0050139C"/>
    <w:rsid w:val="005126FC"/>
    <w:rsid w:val="00514A51"/>
    <w:rsid w:val="00514A60"/>
    <w:rsid w:val="00522B4E"/>
    <w:rsid w:val="005235FC"/>
    <w:rsid w:val="0052506D"/>
    <w:rsid w:val="0052778C"/>
    <w:rsid w:val="00531BF5"/>
    <w:rsid w:val="005339DE"/>
    <w:rsid w:val="00533EBE"/>
    <w:rsid w:val="00534761"/>
    <w:rsid w:val="00534AFE"/>
    <w:rsid w:val="00547515"/>
    <w:rsid w:val="00550635"/>
    <w:rsid w:val="00566E04"/>
    <w:rsid w:val="00571744"/>
    <w:rsid w:val="005728FC"/>
    <w:rsid w:val="005744CD"/>
    <w:rsid w:val="00575E5D"/>
    <w:rsid w:val="00583344"/>
    <w:rsid w:val="00584B1C"/>
    <w:rsid w:val="00586262"/>
    <w:rsid w:val="00590E90"/>
    <w:rsid w:val="0059588A"/>
    <w:rsid w:val="00596EE6"/>
    <w:rsid w:val="005A0D08"/>
    <w:rsid w:val="005A2E22"/>
    <w:rsid w:val="005A452C"/>
    <w:rsid w:val="005B0462"/>
    <w:rsid w:val="005B076E"/>
    <w:rsid w:val="005B3232"/>
    <w:rsid w:val="005B59E6"/>
    <w:rsid w:val="005C460C"/>
    <w:rsid w:val="005C475F"/>
    <w:rsid w:val="005C5E74"/>
    <w:rsid w:val="005D1BBA"/>
    <w:rsid w:val="005D46F1"/>
    <w:rsid w:val="005E04BB"/>
    <w:rsid w:val="005E1795"/>
    <w:rsid w:val="005E3F43"/>
    <w:rsid w:val="005E755E"/>
    <w:rsid w:val="005F064D"/>
    <w:rsid w:val="005F3A63"/>
    <w:rsid w:val="00600AF0"/>
    <w:rsid w:val="00600ECF"/>
    <w:rsid w:val="00603A20"/>
    <w:rsid w:val="00605188"/>
    <w:rsid w:val="00605481"/>
    <w:rsid w:val="006134C5"/>
    <w:rsid w:val="00615313"/>
    <w:rsid w:val="0061585F"/>
    <w:rsid w:val="0062390B"/>
    <w:rsid w:val="00624B20"/>
    <w:rsid w:val="006262F9"/>
    <w:rsid w:val="006263CC"/>
    <w:rsid w:val="006267D8"/>
    <w:rsid w:val="00632213"/>
    <w:rsid w:val="00634B2E"/>
    <w:rsid w:val="006356EA"/>
    <w:rsid w:val="0063619C"/>
    <w:rsid w:val="00640D62"/>
    <w:rsid w:val="006446D9"/>
    <w:rsid w:val="00646EB9"/>
    <w:rsid w:val="006478BB"/>
    <w:rsid w:val="00650935"/>
    <w:rsid w:val="00654873"/>
    <w:rsid w:val="00657530"/>
    <w:rsid w:val="006619CC"/>
    <w:rsid w:val="00661ABB"/>
    <w:rsid w:val="00661FE5"/>
    <w:rsid w:val="00662531"/>
    <w:rsid w:val="0066790B"/>
    <w:rsid w:val="0067140F"/>
    <w:rsid w:val="0067325F"/>
    <w:rsid w:val="00676448"/>
    <w:rsid w:val="00680433"/>
    <w:rsid w:val="00681119"/>
    <w:rsid w:val="006817C1"/>
    <w:rsid w:val="00685DD0"/>
    <w:rsid w:val="00692E7D"/>
    <w:rsid w:val="00693C97"/>
    <w:rsid w:val="006959DA"/>
    <w:rsid w:val="00695CDF"/>
    <w:rsid w:val="00696044"/>
    <w:rsid w:val="00696153"/>
    <w:rsid w:val="006A0F9F"/>
    <w:rsid w:val="006B059E"/>
    <w:rsid w:val="006B4C4D"/>
    <w:rsid w:val="006B6A17"/>
    <w:rsid w:val="006C0B03"/>
    <w:rsid w:val="006C3BB4"/>
    <w:rsid w:val="006C6157"/>
    <w:rsid w:val="006C78E6"/>
    <w:rsid w:val="006D107F"/>
    <w:rsid w:val="006D10A6"/>
    <w:rsid w:val="006D16D5"/>
    <w:rsid w:val="006D16DE"/>
    <w:rsid w:val="006D3725"/>
    <w:rsid w:val="006D6CA2"/>
    <w:rsid w:val="006D7DC5"/>
    <w:rsid w:val="006E39B2"/>
    <w:rsid w:val="006E3B0F"/>
    <w:rsid w:val="006E41D6"/>
    <w:rsid w:val="006E7379"/>
    <w:rsid w:val="006E7D53"/>
    <w:rsid w:val="006F5621"/>
    <w:rsid w:val="006F72E2"/>
    <w:rsid w:val="006F77CA"/>
    <w:rsid w:val="0070422B"/>
    <w:rsid w:val="00705173"/>
    <w:rsid w:val="00707BE2"/>
    <w:rsid w:val="00710F12"/>
    <w:rsid w:val="007122E6"/>
    <w:rsid w:val="00712DA4"/>
    <w:rsid w:val="007201FC"/>
    <w:rsid w:val="007209D0"/>
    <w:rsid w:val="00722A21"/>
    <w:rsid w:val="00723089"/>
    <w:rsid w:val="007239E1"/>
    <w:rsid w:val="00724D28"/>
    <w:rsid w:val="00734B16"/>
    <w:rsid w:val="007421AF"/>
    <w:rsid w:val="0074618B"/>
    <w:rsid w:val="0074755D"/>
    <w:rsid w:val="00747868"/>
    <w:rsid w:val="0075534C"/>
    <w:rsid w:val="00755417"/>
    <w:rsid w:val="00765285"/>
    <w:rsid w:val="00766F57"/>
    <w:rsid w:val="00775475"/>
    <w:rsid w:val="00775F2D"/>
    <w:rsid w:val="0077699A"/>
    <w:rsid w:val="00776F14"/>
    <w:rsid w:val="007827F9"/>
    <w:rsid w:val="00790FA7"/>
    <w:rsid w:val="007923BD"/>
    <w:rsid w:val="00792DAD"/>
    <w:rsid w:val="0079386A"/>
    <w:rsid w:val="00793C90"/>
    <w:rsid w:val="00795585"/>
    <w:rsid w:val="00797A1B"/>
    <w:rsid w:val="007A1594"/>
    <w:rsid w:val="007A1C9A"/>
    <w:rsid w:val="007B7DD9"/>
    <w:rsid w:val="007C20C3"/>
    <w:rsid w:val="007C551B"/>
    <w:rsid w:val="007D1FE4"/>
    <w:rsid w:val="007D3C0C"/>
    <w:rsid w:val="007D42D0"/>
    <w:rsid w:val="007D4EEA"/>
    <w:rsid w:val="007E196E"/>
    <w:rsid w:val="007E5B1F"/>
    <w:rsid w:val="007E773A"/>
    <w:rsid w:val="007F0534"/>
    <w:rsid w:val="007F3552"/>
    <w:rsid w:val="007F4B1A"/>
    <w:rsid w:val="007F7922"/>
    <w:rsid w:val="0080166E"/>
    <w:rsid w:val="008028F1"/>
    <w:rsid w:val="00805ECF"/>
    <w:rsid w:val="00812A19"/>
    <w:rsid w:val="0081329F"/>
    <w:rsid w:val="00814383"/>
    <w:rsid w:val="008154F0"/>
    <w:rsid w:val="00817BCE"/>
    <w:rsid w:val="00821DC9"/>
    <w:rsid w:val="00826427"/>
    <w:rsid w:val="008355F4"/>
    <w:rsid w:val="00836E44"/>
    <w:rsid w:val="0083775B"/>
    <w:rsid w:val="00841DF7"/>
    <w:rsid w:val="00844EF7"/>
    <w:rsid w:val="00845FB7"/>
    <w:rsid w:val="0085036A"/>
    <w:rsid w:val="008524AC"/>
    <w:rsid w:val="00856439"/>
    <w:rsid w:val="00860DF0"/>
    <w:rsid w:val="00863A57"/>
    <w:rsid w:val="00864816"/>
    <w:rsid w:val="0086592C"/>
    <w:rsid w:val="008703E9"/>
    <w:rsid w:val="008709CE"/>
    <w:rsid w:val="00872433"/>
    <w:rsid w:val="00876F7C"/>
    <w:rsid w:val="00882200"/>
    <w:rsid w:val="00885F56"/>
    <w:rsid w:val="00890E24"/>
    <w:rsid w:val="00893927"/>
    <w:rsid w:val="008A27F7"/>
    <w:rsid w:val="008A37AB"/>
    <w:rsid w:val="008B027C"/>
    <w:rsid w:val="008B102B"/>
    <w:rsid w:val="008B27B2"/>
    <w:rsid w:val="008B28A2"/>
    <w:rsid w:val="008C1E22"/>
    <w:rsid w:val="008C2111"/>
    <w:rsid w:val="008C58BD"/>
    <w:rsid w:val="008D01DF"/>
    <w:rsid w:val="008D1374"/>
    <w:rsid w:val="008D3BAC"/>
    <w:rsid w:val="008D40FB"/>
    <w:rsid w:val="008D6C50"/>
    <w:rsid w:val="008E3DF1"/>
    <w:rsid w:val="008E6CB3"/>
    <w:rsid w:val="009001E3"/>
    <w:rsid w:val="00901A88"/>
    <w:rsid w:val="00903D61"/>
    <w:rsid w:val="009040D3"/>
    <w:rsid w:val="0091027E"/>
    <w:rsid w:val="00913EEE"/>
    <w:rsid w:val="0091422D"/>
    <w:rsid w:val="00915039"/>
    <w:rsid w:val="00915D71"/>
    <w:rsid w:val="00915FF2"/>
    <w:rsid w:val="00924AC0"/>
    <w:rsid w:val="00925751"/>
    <w:rsid w:val="009260CE"/>
    <w:rsid w:val="00926C2B"/>
    <w:rsid w:val="0093701A"/>
    <w:rsid w:val="00943578"/>
    <w:rsid w:val="00944062"/>
    <w:rsid w:val="00951BC4"/>
    <w:rsid w:val="00955443"/>
    <w:rsid w:val="00957160"/>
    <w:rsid w:val="009575EE"/>
    <w:rsid w:val="00962047"/>
    <w:rsid w:val="00963080"/>
    <w:rsid w:val="00963EA1"/>
    <w:rsid w:val="0096532C"/>
    <w:rsid w:val="009664F4"/>
    <w:rsid w:val="009714D7"/>
    <w:rsid w:val="009746A7"/>
    <w:rsid w:val="0098129A"/>
    <w:rsid w:val="0098144F"/>
    <w:rsid w:val="00981859"/>
    <w:rsid w:val="0098322B"/>
    <w:rsid w:val="009845AD"/>
    <w:rsid w:val="0098616B"/>
    <w:rsid w:val="00990A02"/>
    <w:rsid w:val="0099505D"/>
    <w:rsid w:val="009A13E7"/>
    <w:rsid w:val="009B006F"/>
    <w:rsid w:val="009B26F4"/>
    <w:rsid w:val="009B726E"/>
    <w:rsid w:val="009B7424"/>
    <w:rsid w:val="009C0376"/>
    <w:rsid w:val="009C09E0"/>
    <w:rsid w:val="009C38FE"/>
    <w:rsid w:val="009C70D6"/>
    <w:rsid w:val="009C7A27"/>
    <w:rsid w:val="009D11D8"/>
    <w:rsid w:val="009D214C"/>
    <w:rsid w:val="009D4356"/>
    <w:rsid w:val="009D4C0B"/>
    <w:rsid w:val="009D4EF2"/>
    <w:rsid w:val="009D5003"/>
    <w:rsid w:val="009D521C"/>
    <w:rsid w:val="009E117A"/>
    <w:rsid w:val="009E31BB"/>
    <w:rsid w:val="009E3258"/>
    <w:rsid w:val="009E367C"/>
    <w:rsid w:val="009E501B"/>
    <w:rsid w:val="009E53F3"/>
    <w:rsid w:val="009E56E0"/>
    <w:rsid w:val="009E588D"/>
    <w:rsid w:val="009E7500"/>
    <w:rsid w:val="009F3B2D"/>
    <w:rsid w:val="00A00C53"/>
    <w:rsid w:val="00A0170D"/>
    <w:rsid w:val="00A02FEF"/>
    <w:rsid w:val="00A065D1"/>
    <w:rsid w:val="00A06FB4"/>
    <w:rsid w:val="00A1106B"/>
    <w:rsid w:val="00A12E1B"/>
    <w:rsid w:val="00A155B0"/>
    <w:rsid w:val="00A17F21"/>
    <w:rsid w:val="00A25CEE"/>
    <w:rsid w:val="00A31387"/>
    <w:rsid w:val="00A31C71"/>
    <w:rsid w:val="00A321F7"/>
    <w:rsid w:val="00A36558"/>
    <w:rsid w:val="00A36DAE"/>
    <w:rsid w:val="00A43357"/>
    <w:rsid w:val="00A4597B"/>
    <w:rsid w:val="00A5234D"/>
    <w:rsid w:val="00A52969"/>
    <w:rsid w:val="00A52EA8"/>
    <w:rsid w:val="00A54EF7"/>
    <w:rsid w:val="00A55714"/>
    <w:rsid w:val="00A56CAE"/>
    <w:rsid w:val="00A61CEB"/>
    <w:rsid w:val="00A6777E"/>
    <w:rsid w:val="00A7112B"/>
    <w:rsid w:val="00A71EE7"/>
    <w:rsid w:val="00A72AD3"/>
    <w:rsid w:val="00A84CAA"/>
    <w:rsid w:val="00A92B6D"/>
    <w:rsid w:val="00A931D4"/>
    <w:rsid w:val="00A94F29"/>
    <w:rsid w:val="00A959C5"/>
    <w:rsid w:val="00A95C1F"/>
    <w:rsid w:val="00A9659A"/>
    <w:rsid w:val="00A97E74"/>
    <w:rsid w:val="00AA15D5"/>
    <w:rsid w:val="00AB0400"/>
    <w:rsid w:val="00AB0F50"/>
    <w:rsid w:val="00AB1C5F"/>
    <w:rsid w:val="00AB1D4A"/>
    <w:rsid w:val="00AB743F"/>
    <w:rsid w:val="00AC4F57"/>
    <w:rsid w:val="00AC5EAB"/>
    <w:rsid w:val="00AC5FAA"/>
    <w:rsid w:val="00AC7EB7"/>
    <w:rsid w:val="00AD09F8"/>
    <w:rsid w:val="00AD0B83"/>
    <w:rsid w:val="00AD4BA9"/>
    <w:rsid w:val="00AD7642"/>
    <w:rsid w:val="00AE1DFB"/>
    <w:rsid w:val="00AE4833"/>
    <w:rsid w:val="00AE4AF6"/>
    <w:rsid w:val="00AF0E47"/>
    <w:rsid w:val="00AF2A9A"/>
    <w:rsid w:val="00AF41AF"/>
    <w:rsid w:val="00AF646C"/>
    <w:rsid w:val="00B0137F"/>
    <w:rsid w:val="00B02204"/>
    <w:rsid w:val="00B022B1"/>
    <w:rsid w:val="00B03F6A"/>
    <w:rsid w:val="00B10837"/>
    <w:rsid w:val="00B12EE4"/>
    <w:rsid w:val="00B16ABB"/>
    <w:rsid w:val="00B20869"/>
    <w:rsid w:val="00B2104B"/>
    <w:rsid w:val="00B210F3"/>
    <w:rsid w:val="00B223FB"/>
    <w:rsid w:val="00B33653"/>
    <w:rsid w:val="00B4020A"/>
    <w:rsid w:val="00B42119"/>
    <w:rsid w:val="00B43157"/>
    <w:rsid w:val="00B4689D"/>
    <w:rsid w:val="00B517E4"/>
    <w:rsid w:val="00B53DAE"/>
    <w:rsid w:val="00B56071"/>
    <w:rsid w:val="00B6026B"/>
    <w:rsid w:val="00B60EEE"/>
    <w:rsid w:val="00B64216"/>
    <w:rsid w:val="00B64766"/>
    <w:rsid w:val="00B66EC8"/>
    <w:rsid w:val="00B721B6"/>
    <w:rsid w:val="00B73DC0"/>
    <w:rsid w:val="00B74C73"/>
    <w:rsid w:val="00B87B55"/>
    <w:rsid w:val="00B950E2"/>
    <w:rsid w:val="00B9606F"/>
    <w:rsid w:val="00B97D95"/>
    <w:rsid w:val="00BA0E7E"/>
    <w:rsid w:val="00BA0FA5"/>
    <w:rsid w:val="00BA2B2F"/>
    <w:rsid w:val="00BB0CF8"/>
    <w:rsid w:val="00BB2AFE"/>
    <w:rsid w:val="00BB2C7D"/>
    <w:rsid w:val="00BB36A1"/>
    <w:rsid w:val="00BB5626"/>
    <w:rsid w:val="00BB57DE"/>
    <w:rsid w:val="00BB63E2"/>
    <w:rsid w:val="00BB676F"/>
    <w:rsid w:val="00BC1148"/>
    <w:rsid w:val="00BC3FCF"/>
    <w:rsid w:val="00BC4AF2"/>
    <w:rsid w:val="00BC54E1"/>
    <w:rsid w:val="00BD308B"/>
    <w:rsid w:val="00BD32C8"/>
    <w:rsid w:val="00BD64F9"/>
    <w:rsid w:val="00BE138C"/>
    <w:rsid w:val="00BE1E16"/>
    <w:rsid w:val="00BE1EA0"/>
    <w:rsid w:val="00BE50AE"/>
    <w:rsid w:val="00BF35F9"/>
    <w:rsid w:val="00BF6C4D"/>
    <w:rsid w:val="00C01714"/>
    <w:rsid w:val="00C01868"/>
    <w:rsid w:val="00C04DCC"/>
    <w:rsid w:val="00C04E70"/>
    <w:rsid w:val="00C073B9"/>
    <w:rsid w:val="00C074C5"/>
    <w:rsid w:val="00C153F7"/>
    <w:rsid w:val="00C248D1"/>
    <w:rsid w:val="00C25823"/>
    <w:rsid w:val="00C35577"/>
    <w:rsid w:val="00C35EDA"/>
    <w:rsid w:val="00C36D73"/>
    <w:rsid w:val="00C4125F"/>
    <w:rsid w:val="00C452AC"/>
    <w:rsid w:val="00C459D9"/>
    <w:rsid w:val="00C5079F"/>
    <w:rsid w:val="00C50814"/>
    <w:rsid w:val="00C60778"/>
    <w:rsid w:val="00C6274A"/>
    <w:rsid w:val="00C62C70"/>
    <w:rsid w:val="00C63C15"/>
    <w:rsid w:val="00C67F7F"/>
    <w:rsid w:val="00C71676"/>
    <w:rsid w:val="00C72992"/>
    <w:rsid w:val="00C72D1E"/>
    <w:rsid w:val="00C73E4A"/>
    <w:rsid w:val="00C759A3"/>
    <w:rsid w:val="00C86B4D"/>
    <w:rsid w:val="00C918B6"/>
    <w:rsid w:val="00C924BE"/>
    <w:rsid w:val="00C9528C"/>
    <w:rsid w:val="00C9704C"/>
    <w:rsid w:val="00C978EF"/>
    <w:rsid w:val="00CA210E"/>
    <w:rsid w:val="00CA38E3"/>
    <w:rsid w:val="00CB2AAA"/>
    <w:rsid w:val="00CB35EA"/>
    <w:rsid w:val="00CB405C"/>
    <w:rsid w:val="00CC2126"/>
    <w:rsid w:val="00CC520A"/>
    <w:rsid w:val="00CC64E8"/>
    <w:rsid w:val="00CD0426"/>
    <w:rsid w:val="00CD0456"/>
    <w:rsid w:val="00CD1AF6"/>
    <w:rsid w:val="00CD3CC6"/>
    <w:rsid w:val="00CD5099"/>
    <w:rsid w:val="00CD6D07"/>
    <w:rsid w:val="00CE1A12"/>
    <w:rsid w:val="00CE4CEF"/>
    <w:rsid w:val="00CE5D90"/>
    <w:rsid w:val="00CE66B8"/>
    <w:rsid w:val="00CE6D5B"/>
    <w:rsid w:val="00CF0A83"/>
    <w:rsid w:val="00CF7DC7"/>
    <w:rsid w:val="00D0039A"/>
    <w:rsid w:val="00D01D0C"/>
    <w:rsid w:val="00D041B0"/>
    <w:rsid w:val="00D21247"/>
    <w:rsid w:val="00D21266"/>
    <w:rsid w:val="00D23AC7"/>
    <w:rsid w:val="00D24027"/>
    <w:rsid w:val="00D31B7A"/>
    <w:rsid w:val="00D34672"/>
    <w:rsid w:val="00D36D42"/>
    <w:rsid w:val="00D531FB"/>
    <w:rsid w:val="00D54DCE"/>
    <w:rsid w:val="00D61DA7"/>
    <w:rsid w:val="00D6524D"/>
    <w:rsid w:val="00D654B1"/>
    <w:rsid w:val="00D716B7"/>
    <w:rsid w:val="00D7320C"/>
    <w:rsid w:val="00D748FF"/>
    <w:rsid w:val="00D76BB4"/>
    <w:rsid w:val="00D76FA3"/>
    <w:rsid w:val="00D812D2"/>
    <w:rsid w:val="00D81DCC"/>
    <w:rsid w:val="00D87BBF"/>
    <w:rsid w:val="00D901A4"/>
    <w:rsid w:val="00D926D6"/>
    <w:rsid w:val="00D94A37"/>
    <w:rsid w:val="00DA1E3F"/>
    <w:rsid w:val="00DA1EDA"/>
    <w:rsid w:val="00DA26C0"/>
    <w:rsid w:val="00DA584B"/>
    <w:rsid w:val="00DB0395"/>
    <w:rsid w:val="00DB06CD"/>
    <w:rsid w:val="00DB6ADA"/>
    <w:rsid w:val="00DB7C64"/>
    <w:rsid w:val="00DC11AE"/>
    <w:rsid w:val="00DC5702"/>
    <w:rsid w:val="00DC7609"/>
    <w:rsid w:val="00DD6386"/>
    <w:rsid w:val="00DD70EA"/>
    <w:rsid w:val="00DD76A5"/>
    <w:rsid w:val="00DD7B14"/>
    <w:rsid w:val="00DD7EA7"/>
    <w:rsid w:val="00DE3608"/>
    <w:rsid w:val="00DE38F4"/>
    <w:rsid w:val="00DE547E"/>
    <w:rsid w:val="00DE6CDE"/>
    <w:rsid w:val="00DE6D83"/>
    <w:rsid w:val="00DF2DE0"/>
    <w:rsid w:val="00DF2F1B"/>
    <w:rsid w:val="00E00D7E"/>
    <w:rsid w:val="00E01A61"/>
    <w:rsid w:val="00E02F05"/>
    <w:rsid w:val="00E03FB2"/>
    <w:rsid w:val="00E13662"/>
    <w:rsid w:val="00E13EF7"/>
    <w:rsid w:val="00E17957"/>
    <w:rsid w:val="00E2038F"/>
    <w:rsid w:val="00E21DF7"/>
    <w:rsid w:val="00E23E5C"/>
    <w:rsid w:val="00E24001"/>
    <w:rsid w:val="00E30C5E"/>
    <w:rsid w:val="00E31A89"/>
    <w:rsid w:val="00E35902"/>
    <w:rsid w:val="00E417B2"/>
    <w:rsid w:val="00E433D0"/>
    <w:rsid w:val="00E44327"/>
    <w:rsid w:val="00E52351"/>
    <w:rsid w:val="00E57B08"/>
    <w:rsid w:val="00E6494D"/>
    <w:rsid w:val="00E650A0"/>
    <w:rsid w:val="00E66A42"/>
    <w:rsid w:val="00E743D2"/>
    <w:rsid w:val="00E779D3"/>
    <w:rsid w:val="00E80200"/>
    <w:rsid w:val="00E808A7"/>
    <w:rsid w:val="00E845D8"/>
    <w:rsid w:val="00E92029"/>
    <w:rsid w:val="00E92CF7"/>
    <w:rsid w:val="00E94886"/>
    <w:rsid w:val="00E94E07"/>
    <w:rsid w:val="00E97B21"/>
    <w:rsid w:val="00EA188E"/>
    <w:rsid w:val="00EA2D3E"/>
    <w:rsid w:val="00EA3AB5"/>
    <w:rsid w:val="00EA5973"/>
    <w:rsid w:val="00EC2A47"/>
    <w:rsid w:val="00ED1C6A"/>
    <w:rsid w:val="00ED2295"/>
    <w:rsid w:val="00ED43FB"/>
    <w:rsid w:val="00ED4660"/>
    <w:rsid w:val="00EE0294"/>
    <w:rsid w:val="00EE1128"/>
    <w:rsid w:val="00EE3D1E"/>
    <w:rsid w:val="00EE4CEA"/>
    <w:rsid w:val="00EF2303"/>
    <w:rsid w:val="00EF43B1"/>
    <w:rsid w:val="00EF70CA"/>
    <w:rsid w:val="00F02118"/>
    <w:rsid w:val="00F044EA"/>
    <w:rsid w:val="00F047A1"/>
    <w:rsid w:val="00F04865"/>
    <w:rsid w:val="00F05161"/>
    <w:rsid w:val="00F11809"/>
    <w:rsid w:val="00F16E04"/>
    <w:rsid w:val="00F20958"/>
    <w:rsid w:val="00F23158"/>
    <w:rsid w:val="00F23B7A"/>
    <w:rsid w:val="00F26B8E"/>
    <w:rsid w:val="00F31499"/>
    <w:rsid w:val="00F36673"/>
    <w:rsid w:val="00F37502"/>
    <w:rsid w:val="00F37618"/>
    <w:rsid w:val="00F4269E"/>
    <w:rsid w:val="00F627A4"/>
    <w:rsid w:val="00F64C0F"/>
    <w:rsid w:val="00F674FE"/>
    <w:rsid w:val="00F75B6A"/>
    <w:rsid w:val="00F833CD"/>
    <w:rsid w:val="00F83C73"/>
    <w:rsid w:val="00F86421"/>
    <w:rsid w:val="00F86888"/>
    <w:rsid w:val="00F87F60"/>
    <w:rsid w:val="00F905CD"/>
    <w:rsid w:val="00F922D3"/>
    <w:rsid w:val="00F959B2"/>
    <w:rsid w:val="00F95A42"/>
    <w:rsid w:val="00F96A02"/>
    <w:rsid w:val="00FA0DC2"/>
    <w:rsid w:val="00FA4780"/>
    <w:rsid w:val="00FA51D9"/>
    <w:rsid w:val="00FA58D1"/>
    <w:rsid w:val="00FB07A0"/>
    <w:rsid w:val="00FB7C02"/>
    <w:rsid w:val="00FB7E30"/>
    <w:rsid w:val="00FC2354"/>
    <w:rsid w:val="00FC2441"/>
    <w:rsid w:val="00FC55F9"/>
    <w:rsid w:val="00FC5B44"/>
    <w:rsid w:val="00FC72A0"/>
    <w:rsid w:val="00FD310C"/>
    <w:rsid w:val="00FE05E4"/>
    <w:rsid w:val="00FE1AD7"/>
    <w:rsid w:val="00FE28A7"/>
    <w:rsid w:val="00FE388F"/>
    <w:rsid w:val="00FE6D01"/>
    <w:rsid w:val="00FE76BE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7"/>
    <o:shapelayout v:ext="edit">
      <o:idmap v:ext="edit" data="1"/>
      <o:rules v:ext="edit">
        <o:r id="V:Rule1" type="callout" idref="#_x0000_s1042"/>
        <o:r id="V:Rule2" type="callout" idref="#_x0000_s1043"/>
        <o:r id="V:Rule3" type="callout" idref="#_x0000_s1046"/>
        <o:r id="V:Rule4" type="callout" idref="#_x0000_s1045"/>
        <o:r id="V:Rule5" type="callout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2E7D"/>
    <w:rPr>
      <w:b/>
      <w:bCs/>
      <w:sz w:val="20"/>
      <w:szCs w:val="20"/>
    </w:rPr>
  </w:style>
  <w:style w:type="paragraph" w:styleId="a4">
    <w:name w:val="Balloon Text"/>
    <w:basedOn w:val="a"/>
    <w:semiHidden/>
    <w:rsid w:val="004E173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52506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2506D"/>
  </w:style>
  <w:style w:type="character" w:styleId="a7">
    <w:name w:val="footnote reference"/>
    <w:basedOn w:val="a0"/>
    <w:rsid w:val="005250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4455852156057687E-2"/>
          <c:y val="4.6728971962616862E-2"/>
          <c:w val="0.64887063655030908"/>
          <c:h val="0.8193146417445482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rgbClr val="9999FF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2953826210091885E-2"/>
                  <c:y val="-9.5758328011983238E-2"/>
                </c:manualLayout>
              </c:layout>
              <c:showVal val="1"/>
            </c:dLbl>
            <c:dLbl>
              <c:idx val="1"/>
              <c:layout>
                <c:manualLayout>
                  <c:x val="2.0881782130281783E-4"/>
                  <c:y val="-3.4709571981449271E-2"/>
                </c:manualLayout>
              </c:layout>
              <c:showVal val="1"/>
            </c:dLbl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739.7</c:v>
                </c:pt>
                <c:pt idx="1">
                  <c:v>814.3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993366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7388523321214636E-2"/>
                  <c:y val="-9.6532394560116266E-2"/>
                </c:manualLayout>
              </c:layout>
              <c:showVal val="1"/>
            </c:dLbl>
            <c:dLbl>
              <c:idx val="1"/>
              <c:layout>
                <c:manualLayout>
                  <c:x val="3.2337614991213154E-2"/>
                  <c:y val="-4.1571447138221383E-2"/>
                </c:manualLayout>
              </c:layout>
              <c:showVal val="1"/>
            </c:dLbl>
            <c:spPr>
              <a:noFill/>
              <a:ln w="25373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738.8</c:v>
                </c:pt>
                <c:pt idx="1">
                  <c:v>802.7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Профицит</c:v>
                </c:pt>
              </c:strCache>
            </c:strRef>
          </c:tx>
          <c:spPr>
            <a:solidFill>
              <a:srgbClr val="FFFFCC"/>
            </a:solidFill>
            <a:ln w="1268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011389535233887E-2"/>
                  <c:y val="-3.3385736763685281E-2"/>
                </c:manualLayout>
              </c:layout>
              <c:spPr>
                <a:noFill/>
                <a:ln w="25373">
                  <a:noFill/>
                </a:ln>
              </c:spPr>
              <c:txPr>
                <a:bodyPr/>
                <a:lstStyle/>
                <a:p>
                  <a:pPr>
                    <a:defRPr sz="11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0.9</c:v>
                </c:pt>
                <c:pt idx="1">
                  <c:v>11.6</c:v>
                </c:pt>
              </c:numCache>
            </c:numRef>
          </c:val>
        </c:ser>
        <c:gapDepth val="0"/>
        <c:shape val="box"/>
        <c:axId val="131451904"/>
        <c:axId val="131474176"/>
        <c:axId val="0"/>
      </c:bar3DChart>
      <c:catAx>
        <c:axId val="13145190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474176"/>
        <c:crosses val="autoZero"/>
        <c:auto val="1"/>
        <c:lblAlgn val="ctr"/>
        <c:lblOffset val="100"/>
        <c:tickLblSkip val="1"/>
        <c:tickMarkSkip val="1"/>
      </c:catAx>
      <c:valAx>
        <c:axId val="13147417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1451904"/>
        <c:crosses val="autoZero"/>
        <c:crossBetween val="between"/>
      </c:valAx>
      <c:spPr>
        <a:noFill/>
        <a:ln w="25373">
          <a:noFill/>
        </a:ln>
      </c:spPr>
    </c:plotArea>
    <c:legend>
      <c:legendPos val="r"/>
      <c:layout>
        <c:manualLayout>
          <c:xMode val="edge"/>
          <c:yMode val="edge"/>
          <c:x val="0.76591375770020531"/>
          <c:y val="0.38629283489096594"/>
          <c:w val="0.22587268993839835"/>
          <c:h val="0.22741433021806867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09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hPercent val="40"/>
      <c:rotY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3623693379791059E-2"/>
          <c:y val="4.7445255474452483E-2"/>
          <c:w val="0.89895470383275256"/>
          <c:h val="0.682481751824817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Доходы всего млн. руб.</c:v>
                </c:pt>
              </c:strCache>
            </c:strRef>
          </c:tx>
          <c:spPr>
            <a:solidFill>
              <a:srgbClr val="9999FF"/>
            </a:solidFill>
            <a:ln w="1271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3.2053009322157322E-2"/>
                  <c:y val="2.3416279671919022E-2"/>
                </c:manualLayout>
              </c:layout>
              <c:showVal val="1"/>
            </c:dLbl>
            <c:dLbl>
              <c:idx val="1"/>
              <c:layout>
                <c:manualLayout>
                  <c:x val="2.6855296300563256E-2"/>
                  <c:y val="3.5045776869936152E-2"/>
                </c:manualLayout>
              </c:layout>
              <c:showVal val="1"/>
            </c:dLbl>
            <c:spPr>
              <a:noFill/>
              <a:ln w="25437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739.7</c:v>
                </c:pt>
                <c:pt idx="1">
                  <c:v>814.3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Собственные доходы млн. руб.</c:v>
                </c:pt>
              </c:strCache>
            </c:strRef>
          </c:tx>
          <c:spPr>
            <a:solidFill>
              <a:srgbClr val="FF00FF"/>
            </a:solidFill>
            <a:ln w="1271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07917370430224E-2"/>
                  <c:y val="-6.4073299779517333E-3"/>
                </c:manualLayout>
              </c:layout>
              <c:showVal val="1"/>
            </c:dLbl>
            <c:dLbl>
              <c:idx val="1"/>
              <c:layout>
                <c:manualLayout>
                  <c:x val="3.3334422355182192E-2"/>
                  <c:y val="-1.0537581437064335E-2"/>
                </c:manualLayout>
              </c:layout>
              <c:showVal val="1"/>
            </c:dLbl>
            <c:spPr>
              <a:noFill/>
              <a:ln w="25437">
                <a:noFill/>
              </a:ln>
            </c:spPr>
            <c:txPr>
              <a:bodyPr/>
              <a:lstStyle/>
              <a:p>
                <a:pPr>
                  <a:defRPr sz="120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155.1</c:v>
                </c:pt>
                <c:pt idx="1">
                  <c:v>180.7</c:v>
                </c:pt>
              </c:numCache>
            </c:numRef>
          </c:val>
        </c:ser>
        <c:dLbls>
          <c:showVal val="1"/>
        </c:dLbls>
        <c:gapDepth val="0"/>
        <c:shape val="cylinder"/>
        <c:axId val="47261952"/>
        <c:axId val="47267840"/>
        <c:axId val="0"/>
      </c:bar3DChart>
      <c:catAx>
        <c:axId val="47261952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267840"/>
        <c:crosses val="autoZero"/>
        <c:auto val="1"/>
        <c:lblAlgn val="ctr"/>
        <c:lblOffset val="100"/>
        <c:tickLblSkip val="1"/>
        <c:tickMarkSkip val="1"/>
      </c:catAx>
      <c:valAx>
        <c:axId val="47267840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261952"/>
        <c:crosses val="autoZero"/>
        <c:crossBetween val="between"/>
      </c:valAx>
      <c:spPr>
        <a:noFill/>
        <a:ln w="25437">
          <a:noFill/>
        </a:ln>
      </c:spPr>
    </c:plotArea>
    <c:legend>
      <c:legendPos val="r"/>
      <c:layout>
        <c:manualLayout>
          <c:xMode val="edge"/>
          <c:yMode val="edge"/>
          <c:x val="0.27700348432055771"/>
          <c:y val="0.82846715328467169"/>
          <c:w val="0.47909407665505238"/>
          <c:h val="0.16423357664233576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7805383022774326"/>
          <c:y val="0.18406593406593427"/>
          <c:w val="0.68737060041407916"/>
          <c:h val="0.3598901098901101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Налог на доходы физических лиц</c:v>
                </c:pt>
              </c:strCache>
            </c:strRef>
          </c:tx>
          <c:spPr>
            <a:solidFill>
              <a:srgbClr val="9999FF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4832454547897045E-3"/>
                  <c:y val="0.16315905944449274"/>
                </c:manualLayout>
              </c:layout>
              <c:dLblPos val="bestFit"/>
              <c:showPercent val="1"/>
            </c:dLbl>
            <c:dLbl>
              <c:idx val="1"/>
              <c:layout>
                <c:manualLayout>
                  <c:x val="-1.2913851392674643E-2"/>
                  <c:y val="9.0625227135069764E-2"/>
                </c:manualLayout>
              </c:layout>
              <c:dLblPos val="bestFit"/>
              <c:showPercent val="1"/>
            </c:dLbl>
            <c:dLbl>
              <c:idx val="2"/>
              <c:layout>
                <c:manualLayout>
                  <c:x val="-2.0753356207458287E-2"/>
                  <c:y val="2.8513909319027531E-2"/>
                </c:manualLayout>
              </c:layout>
              <c:dLblPos val="bestFit"/>
              <c:showPercent val="1"/>
            </c:dLbl>
            <c:dLbl>
              <c:idx val="3"/>
              <c:layout>
                <c:manualLayout>
                  <c:x val="-7.7905962515716964E-2"/>
                  <c:y val="-6.3259280089988629E-2"/>
                </c:manualLayout>
              </c:layout>
              <c:dLblPos val="bestFit"/>
              <c:showPercent val="1"/>
            </c:dLbl>
            <c:dLbl>
              <c:idx val="4"/>
              <c:layout>
                <c:manualLayout>
                  <c:x val="-1.9715899442152213E-2"/>
                  <c:y val="-0.1043075192524011"/>
                </c:manualLayout>
              </c:layout>
              <c:dLblPos val="bestFit"/>
              <c:showPercent val="1"/>
            </c:dLbl>
            <c:dLbl>
              <c:idx val="5"/>
              <c:layout>
                <c:manualLayout>
                  <c:x val="-2.7181599592591848E-2"/>
                  <c:y val="-0.11558120619537943"/>
                </c:manualLayout>
              </c:layout>
              <c:dLblPos val="bestFit"/>
              <c:showPercent val="1"/>
            </c:dLbl>
            <c:dLbl>
              <c:idx val="6"/>
              <c:layout>
                <c:manualLayout>
                  <c:x val="-1.0606062221104219E-2"/>
                  <c:y val="-9.6581335986847858E-2"/>
                </c:manualLayout>
              </c:layout>
              <c:dLblPos val="bestFit"/>
              <c:showPercent val="1"/>
            </c:dLbl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04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налоговые и неналоговые доходы</c:v>
                </c:pt>
                <c:pt idx="7">
                  <c:v>Акцизы на нефтепродукты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97.4</c:v>
                </c:pt>
                <c:pt idx="1">
                  <c:v>5.4</c:v>
                </c:pt>
                <c:pt idx="2">
                  <c:v>14.7</c:v>
                </c:pt>
                <c:pt idx="3">
                  <c:v>15.2</c:v>
                </c:pt>
                <c:pt idx="4">
                  <c:v>25.2</c:v>
                </c:pt>
                <c:pt idx="5">
                  <c:v>8.8000000000000007</c:v>
                </c:pt>
                <c:pt idx="6">
                  <c:v>6.8</c:v>
                </c:pt>
                <c:pt idx="7">
                  <c:v>7.2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налоговые и неналоговые доходы</c:v>
                </c:pt>
                <c:pt idx="7">
                  <c:v>Акцизы на нефтепродукты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налоговые и неналоговые доходы</c:v>
                </c:pt>
                <c:pt idx="7">
                  <c:v>Акцизы на нефтепродукты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налоговые и неналоговые доходы</c:v>
                </c:pt>
                <c:pt idx="7">
                  <c:v>Акцизы на нефтепродукты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налоговые и неналоговые доходы</c:v>
                </c:pt>
                <c:pt idx="7">
                  <c:v>Акцизы на нефтепродукты</c:v>
                </c:pt>
              </c:strCache>
            </c:strRef>
          </c:cat>
          <c:val>
            <c:numRef>
              <c:f>Sheet1!$B$6:$I$6</c:f>
              <c:numCache>
                <c:formatCode>General</c:formatCode>
                <c:ptCount val="8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FF8080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налоговые и неналоговые доходы</c:v>
                </c:pt>
                <c:pt idx="7">
                  <c:v>Акцизы на нефтепродукты</c:v>
                </c:pt>
              </c:strCache>
            </c:strRef>
          </c:cat>
          <c:val>
            <c:numRef>
              <c:f>Sheet1!$B$7:$I$7</c:f>
              <c:numCache>
                <c:formatCode>General</c:formatCode>
                <c:ptCount val="8"/>
              </c:numCache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</c:strCache>
            </c:strRef>
          </c:tx>
          <c:spPr>
            <a:solidFill>
              <a:srgbClr val="0066CC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7"/>
            <c:spPr>
              <a:solidFill>
                <a:srgbClr val="CCCC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налоговые и неналоговые доходы</c:v>
                </c:pt>
                <c:pt idx="7">
                  <c:v>Акцизы на нефтепродукты</c:v>
                </c:pt>
              </c:strCache>
            </c:strRef>
          </c:cat>
          <c:val>
            <c:numRef>
              <c:f>Sheet1!$B$8:$I$8</c:f>
              <c:numCache>
                <c:formatCode>General</c:formatCode>
                <c:ptCount val="8"/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</c:strCache>
            </c:strRef>
          </c:tx>
          <c:spPr>
            <a:solidFill>
              <a:srgbClr val="CCCCFF"/>
            </a:solidFill>
            <a:ln w="1267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5"/>
            <c:spPr>
              <a:solidFill>
                <a:srgbClr val="FF8080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Pt>
            <c:idx val="6"/>
            <c:spPr>
              <a:solidFill>
                <a:srgbClr val="0066CC"/>
              </a:solidFill>
              <a:ln w="12677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355">
                <a:noFill/>
              </a:ln>
            </c:spPr>
            <c:txPr>
              <a:bodyPr/>
              <a:lstStyle/>
              <a:p>
                <a:pPr>
                  <a:defRPr sz="17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Sheet1!$B$1:$I$1</c:f>
              <c:strCache>
                <c:ptCount val="8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</c:v>
                </c:pt>
                <c:pt idx="3">
                  <c:v>Доходы от использования имущества</c:v>
                </c:pt>
                <c:pt idx="4">
                  <c:v>Доход от оказания платных услуг и компенсацию затрат государства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налоговые и неналоговые доходы</c:v>
                </c:pt>
                <c:pt idx="7">
                  <c:v>Акцизы на нефтепродукты</c:v>
                </c:pt>
              </c:strCache>
            </c:strRef>
          </c:cat>
          <c:val>
            <c:numRef>
              <c:f>Sheet1!$B$9:$I$9</c:f>
              <c:numCache>
                <c:formatCode>General</c:formatCode>
                <c:ptCount val="8"/>
              </c:numCache>
            </c:numRef>
          </c:val>
        </c:ser>
        <c:dLbls>
          <c:showPercent val="1"/>
        </c:dLbls>
      </c:pie3DChart>
      <c:spPr>
        <a:noFill/>
        <a:ln w="25355">
          <a:noFill/>
        </a:ln>
      </c:spPr>
    </c:plotArea>
    <c:legend>
      <c:legendPos val="b"/>
      <c:layout>
        <c:manualLayout>
          <c:xMode val="edge"/>
          <c:yMode val="edge"/>
          <c:x val="0.14699792960662536"/>
          <c:y val="0.57967032967032972"/>
          <c:w val="0.6977225672877847"/>
          <c:h val="0.420329670329671"/>
        </c:manualLayout>
      </c:layout>
      <c:spPr>
        <a:noFill/>
        <a:ln w="25355">
          <a:noFill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5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069620253164568E-2"/>
          <c:y val="0.16592920353982324"/>
          <c:w val="0.90348101265822833"/>
          <c:h val="0.68141592920353977"/>
        </c:manualLayout>
      </c:layout>
      <c:bar3D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Динамика поступлений по основным доходным источникам бюджета городского округа в 2014 году (млн.руб.)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5"/>
                <c:pt idx="0">
                  <c:v>НДФЛ</c:v>
                </c:pt>
                <c:pt idx="1">
                  <c:v>платные услуги</c:v>
                </c:pt>
                <c:pt idx="2">
                  <c:v>доходы от аренды имущества</c:v>
                </c:pt>
                <c:pt idx="3">
                  <c:v>налоги от имущества</c:v>
                </c:pt>
                <c:pt idx="4">
                  <c:v> от продажи имущества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97.4</c:v>
                </c:pt>
                <c:pt idx="1">
                  <c:v>25.2</c:v>
                </c:pt>
                <c:pt idx="2">
                  <c:v>15.2</c:v>
                </c:pt>
                <c:pt idx="3">
                  <c:v>14.7</c:v>
                </c:pt>
                <c:pt idx="4">
                  <c:v>8.8000000000000007</c:v>
                </c:pt>
              </c:numCache>
            </c:numRef>
          </c:val>
        </c:ser>
        <c:gapDepth val="0"/>
        <c:shape val="cylinder"/>
        <c:axId val="86299008"/>
        <c:axId val="86300544"/>
        <c:axId val="0"/>
      </c:bar3DChart>
      <c:catAx>
        <c:axId val="8629900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300544"/>
        <c:crosses val="autoZero"/>
        <c:auto val="1"/>
        <c:lblAlgn val="ctr"/>
        <c:lblOffset val="100"/>
        <c:tickLblSkip val="1"/>
        <c:tickMarkSkip val="1"/>
      </c:catAx>
      <c:valAx>
        <c:axId val="8630054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84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6299008"/>
        <c:crosses val="autoZero"/>
        <c:crossBetween val="between"/>
      </c:valAx>
      <c:spPr>
        <a:noFill/>
        <a:ln w="2539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8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10"/>
      <c:hPercent val="43"/>
      <c:rotY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329566854990593E-2"/>
          <c:y val="4.7445255474452483E-2"/>
          <c:w val="0.90583804143126156"/>
          <c:h val="0.6824817518248175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Финансовая помощь,млн. руб.</c:v>
                </c:pt>
              </c:strCache>
            </c:strRef>
          </c:tx>
          <c:spPr>
            <a:solidFill>
              <a:srgbClr val="9999FF"/>
            </a:solidFill>
            <a:ln w="1268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0580447401717612E-2"/>
                  <c:y val="-1.5464327763813842E-2"/>
                </c:manualLayout>
              </c:layout>
              <c:showVal val="1"/>
            </c:dLbl>
            <c:dLbl>
              <c:idx val="1"/>
              <c:layout>
                <c:manualLayout>
                  <c:x val="1.35431665372319E-2"/>
                  <c:y val="-1.3807777918594421E-2"/>
                </c:manualLayout>
              </c:layout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2016год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591</c:v>
                </c:pt>
                <c:pt idx="1">
                  <c:v>633.6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Собственные доходы, млн. руб.</c:v>
                </c:pt>
              </c:strCache>
            </c:strRef>
          </c:tx>
          <c:spPr>
            <a:solidFill>
              <a:srgbClr val="FF00FF"/>
            </a:solidFill>
            <a:ln w="1268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0188098057719012E-2"/>
                  <c:y val="-1.535029051730376E-2"/>
                </c:manualLayout>
              </c:layout>
              <c:showVal val="1"/>
            </c:dLbl>
            <c:dLbl>
              <c:idx val="1"/>
              <c:layout>
                <c:manualLayout>
                  <c:x val="2.4444593663843276E-2"/>
                  <c:y val="-2.1619536062112352E-2"/>
                </c:manualLayout>
              </c:layout>
              <c:showVal val="1"/>
            </c:dLbl>
            <c:spPr>
              <a:noFill/>
              <a:ln w="25375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2015 год</c:v>
                </c:pt>
                <c:pt idx="1">
                  <c:v>2016год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155.1</c:v>
                </c:pt>
                <c:pt idx="1">
                  <c:v>180.7</c:v>
                </c:pt>
              </c:numCache>
            </c:numRef>
          </c:val>
        </c:ser>
        <c:dLbls>
          <c:showVal val="1"/>
        </c:dLbls>
        <c:gapDepth val="0"/>
        <c:shape val="cylinder"/>
        <c:axId val="92232320"/>
        <c:axId val="92242304"/>
        <c:axId val="0"/>
      </c:bar3DChart>
      <c:catAx>
        <c:axId val="9223232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242304"/>
        <c:crosses val="autoZero"/>
        <c:auto val="1"/>
        <c:lblAlgn val="ctr"/>
        <c:lblOffset val="100"/>
        <c:tickLblSkip val="1"/>
        <c:tickMarkSkip val="1"/>
      </c:catAx>
      <c:valAx>
        <c:axId val="9224230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2232320"/>
        <c:crosses val="autoZero"/>
        <c:crossBetween val="between"/>
      </c:valAx>
      <c:spPr>
        <a:noFill/>
        <a:ln w="25375">
          <a:noFill/>
        </a:ln>
      </c:spPr>
    </c:plotArea>
    <c:legend>
      <c:legendPos val="r"/>
      <c:layout>
        <c:manualLayout>
          <c:xMode val="edge"/>
          <c:yMode val="edge"/>
          <c:x val="0.25800376647834272"/>
          <c:y val="0.82846715328467169"/>
          <c:w val="0.51789077212806078"/>
          <c:h val="0.16423357664233576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91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 baseline="0"/>
              <a:t>Функциональная структура расходов бюджета в 2016 году</a:t>
            </a:r>
          </a:p>
        </c:rich>
      </c:tx>
      <c:layout>
        <c:manualLayout>
          <c:xMode val="edge"/>
          <c:yMode val="edge"/>
          <c:x val="0.15741096583110603"/>
          <c:y val="0"/>
        </c:manualLayout>
      </c:layout>
      <c:spPr>
        <a:noFill/>
        <a:ln w="25339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8848920863309368"/>
          <c:y val="0.41646489104116252"/>
          <c:w val="0.73237410071942444"/>
          <c:h val="0.491525423728813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5339">
              <a:noFill/>
            </a:ln>
          </c:spPr>
          <c:explosion val="16"/>
          <c:dPt>
            <c:idx val="1"/>
            <c:spPr>
              <a:solidFill>
                <a:srgbClr val="993366"/>
              </a:solidFill>
              <a:ln w="25339">
                <a:noFill/>
              </a:ln>
            </c:spPr>
          </c:dPt>
          <c:dPt>
            <c:idx val="2"/>
            <c:spPr>
              <a:solidFill>
                <a:srgbClr val="FFFFCC"/>
              </a:solidFill>
              <a:ln w="25339">
                <a:noFill/>
              </a:ln>
            </c:spPr>
          </c:dPt>
          <c:dLbls>
            <c:dLbl>
              <c:idx val="0"/>
              <c:layout>
                <c:manualLayout>
                  <c:x val="6.7080510402402732E-2"/>
                  <c:y val="4.6822825636182348E-2"/>
                </c:manualLayout>
              </c:layout>
              <c:tx>
                <c:rich>
                  <a:bodyPr/>
                  <a:lstStyle/>
                  <a:p>
                    <a:pPr>
                      <a:defRPr sz="119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Социальный блок; 82,7%</a:t>
                    </a:r>
                  </a:p>
                </c:rich>
              </c:tx>
              <c:spPr>
                <a:noFill/>
                <a:ln w="25339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-6.6382184522017981E-2"/>
                  <c:y val="-3.1315865297648487E-2"/>
                </c:manualLayout>
              </c:layout>
              <c:tx>
                <c:rich>
                  <a:bodyPr/>
                  <a:lstStyle/>
                  <a:p>
                    <a:pPr>
                      <a:defRPr sz="119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Экономический блок; 7,9%</a:t>
                    </a:r>
                  </a:p>
                </c:rich>
              </c:tx>
              <c:spPr>
                <a:noFill/>
                <a:ln w="25339">
                  <a:noFill/>
                </a:ln>
              </c:spPr>
              <c:dLblPos val="bestFit"/>
            </c:dLbl>
            <c:dLbl>
              <c:idx val="2"/>
              <c:layout>
                <c:manualLayout>
                  <c:x val="0.17477629664786432"/>
                  <c:y val="-0.10404605117447847"/>
                </c:manualLayout>
              </c:layout>
              <c:tx>
                <c:rich>
                  <a:bodyPr/>
                  <a:lstStyle/>
                  <a:p>
                    <a:pPr>
                      <a:defRPr sz="1197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Общегос.вопросы, ГО и ЧС; 9,4%</a:t>
                    </a:r>
                  </a:p>
                </c:rich>
              </c:tx>
              <c:spPr>
                <a:noFill/>
                <a:ln w="25339">
                  <a:noFill/>
                </a:ln>
              </c:spPr>
              <c:dLblPos val="bestFit"/>
            </c:dLbl>
            <c:numFmt formatCode="0%" sourceLinked="0"/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119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  <c:showPercent val="1"/>
            <c:showLeaderLines val="1"/>
          </c:dLbls>
          <c:cat>
            <c:strRef>
              <c:f>Sheet1!$B$1:$D$1</c:f>
              <c:strCache>
                <c:ptCount val="3"/>
                <c:pt idx="0">
                  <c:v>Социальный блок</c:v>
                </c:pt>
                <c:pt idx="1">
                  <c:v>Экономический блок</c:v>
                </c:pt>
                <c:pt idx="2">
                  <c:v>Общегосударственные вопросы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663.8</c:v>
                </c:pt>
                <c:pt idx="1">
                  <c:v>63.8</c:v>
                </c:pt>
                <c:pt idx="2">
                  <c:v>75.099999999999994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9">
              <a:solidFill>
                <a:srgbClr val="000000"/>
              </a:solidFill>
              <a:prstDash val="solid"/>
            </a:ln>
          </c:spPr>
          <c:explosion val="16"/>
          <c:dPt>
            <c:idx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Социальный блок</c:v>
                </c:pt>
                <c:pt idx="1">
                  <c:v>Экономический блок</c:v>
                </c:pt>
                <c:pt idx="2">
                  <c:v>Общегосударственные вопросы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9">
              <a:solidFill>
                <a:srgbClr val="000000"/>
              </a:solidFill>
              <a:prstDash val="solid"/>
            </a:ln>
          </c:spPr>
          <c:explosion val="16"/>
          <c:dPt>
            <c:idx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3"/>
                <c:pt idx="0">
                  <c:v>Социальный блок</c:v>
                </c:pt>
                <c:pt idx="1">
                  <c:v>Экономический блок</c:v>
                </c:pt>
                <c:pt idx="2">
                  <c:v>Общегосударственные вопросы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33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8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9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Охват программно-целевыми методами планирования в 2016 году</a:t>
            </a:r>
          </a:p>
        </c:rich>
      </c:tx>
      <c:layout>
        <c:manualLayout>
          <c:xMode val="edge"/>
          <c:yMode val="edge"/>
          <c:x val="0.15465593791689991"/>
          <c:y val="0"/>
        </c:manualLayout>
      </c:layout>
      <c:spPr>
        <a:noFill/>
        <a:ln w="25339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6.6629239490440501E-2"/>
          <c:y val="0.33431810134851836"/>
          <c:w val="0.72168455960642552"/>
          <c:h val="0.4843821229873541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25339">
              <a:noFill/>
            </a:ln>
          </c:spPr>
          <c:explosion val="25"/>
          <c:dPt>
            <c:idx val="1"/>
            <c:spPr>
              <a:solidFill>
                <a:srgbClr val="993366"/>
              </a:solidFill>
              <a:ln w="25339">
                <a:noFill/>
              </a:ln>
            </c:spPr>
          </c:dPt>
          <c:dPt>
            <c:idx val="2"/>
            <c:spPr>
              <a:solidFill>
                <a:srgbClr val="FFFFCC"/>
              </a:solidFill>
              <a:ln w="25339">
                <a:noFill/>
              </a:ln>
            </c:spPr>
          </c:dPt>
          <c:dLbls>
            <c:dLbl>
              <c:idx val="0"/>
              <c:layout>
                <c:manualLayout>
                  <c:x val="0.18466473358387661"/>
                  <c:y val="0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100"/>
                      <a:t>Муниципальные программы; 93,7</a:t>
                    </a:r>
                  </a:p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100"/>
                      <a:t>%</a:t>
                    </a:r>
                  </a:p>
                </c:rich>
              </c:tx>
              <c:spPr>
                <a:noFill/>
                <a:ln w="25339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-6.6382184522017981E-2"/>
                  <c:y val="-3.1315865297648487E-2"/>
                </c:manualLayout>
              </c:layout>
              <c:tx>
                <c:rich>
                  <a:bodyPr/>
                  <a:lstStyle/>
                  <a:p>
                    <a:pPr>
                      <a:defRPr sz="1100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1100"/>
                      <a:t>Непрограммные расходы; 6,3%</a:t>
                    </a:r>
                  </a:p>
                </c:rich>
              </c:tx>
              <c:spPr>
                <a:noFill/>
                <a:ln w="25339">
                  <a:noFill/>
                </a:ln>
              </c:spPr>
              <c:dLblPos val="bestFit"/>
            </c:dLbl>
            <c:dLbl>
              <c:idx val="2"/>
              <c:delete val="1"/>
            </c:dLbl>
            <c:numFmt formatCode="0%" sourceLinked="0"/>
            <c:spPr>
              <a:noFill/>
              <a:ln w="25339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SerName val="1"/>
            <c:showPercent val="1"/>
            <c:showLeaderLines val="1"/>
          </c:dLbls>
          <c:cat>
            <c:strRef>
              <c:f>Sheet1!$B$1:$D$1</c:f>
              <c:strCache>
                <c:ptCount val="2"/>
                <c:pt idx="0">
                  <c:v>Муниципальные программы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752.1</c:v>
                </c:pt>
                <c:pt idx="1">
                  <c:v>50.6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6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Муниципальные программы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69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669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Sheet1!$B$1:$D$1</c:f>
              <c:strCache>
                <c:ptCount val="2"/>
                <c:pt idx="0">
                  <c:v>Муниципальные программы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</c:numCache>
            </c:numRef>
          </c:val>
        </c:ser>
      </c:pie3DChart>
      <c:spPr>
        <a:noFill/>
        <a:ln w="2533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82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724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Nevalenova</dc:creator>
  <cp:lastModifiedBy>Nevalenova</cp:lastModifiedBy>
  <cp:revision>7</cp:revision>
  <cp:lastPrinted>2017-05-24T07:54:00Z</cp:lastPrinted>
  <dcterms:created xsi:type="dcterms:W3CDTF">2017-05-23T11:11:00Z</dcterms:created>
  <dcterms:modified xsi:type="dcterms:W3CDTF">2017-05-24T12:38:00Z</dcterms:modified>
</cp:coreProperties>
</file>