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Segoe UI" w:hAnsi="Segoe UI" w:cs="Segoe UI"/>
          <w:sz w:val="20"/>
        </w:rPr>
      </w:pPr>
      <w:r>
        <w:rPr/>
        <w:drawing>
          <wp:inline distT="0" distB="0" distL="19050" distR="0">
            <wp:extent cx="4180840" cy="478155"/>
            <wp:effectExtent l="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4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egoe UI" w:ascii="Segoe UI" w:hAnsi="Segoe UI"/>
          <w:b/>
          <w:bCs/>
          <w:lang w:eastAsia="sk-SK"/>
        </w:rPr>
        <w:t xml:space="preserve">                          </w:t>
      </w:r>
      <w:r>
        <w:rPr>
          <w:rFonts w:cs="Segoe UI" w:ascii="Segoe UI" w:hAnsi="Segoe UI"/>
          <w:b/>
          <w:bCs/>
          <w:sz w:val="24"/>
          <w:lang w:eastAsia="sk-SK"/>
        </w:rPr>
        <w:t>ПРЕСС-РЕЛИЗ</w:t>
      </w:r>
    </w:p>
    <w:p>
      <w:pPr>
        <w:pStyle w:val="Normal"/>
        <w:spacing w:lineRule="auto" w:line="240" w:before="0" w:after="0"/>
        <w:jc w:val="center"/>
        <w:rPr/>
      </w:pPr>
      <w:bookmarkStart w:id="0" w:name="__DdeLink__132_926038862"/>
      <w:bookmarkEnd w:id="0"/>
      <w:r>
        <w:rPr>
          <w:rFonts w:cs="Segoe UI" w:ascii="Segoe UI" w:hAnsi="Segoe UI"/>
          <w:b/>
          <w:sz w:val="24"/>
          <w:szCs w:val="24"/>
        </w:rPr>
        <w:t>Кадастровая палата по Челябинской области вносит в реестр недвижимости сведения о водных объектах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i/>
          <w:i/>
          <w:color w:val="000000"/>
          <w:sz w:val="24"/>
          <w:szCs w:val="24"/>
          <w:shd w:fill="FFFFFF" w:val="clear"/>
        </w:rPr>
      </w:pPr>
      <w:r>
        <w:rPr>
          <w:rFonts w:cs="Segoe UI" w:ascii="Segoe UI" w:hAnsi="Segoe UI"/>
          <w:i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i/>
          <w:i/>
          <w:sz w:val="24"/>
          <w:szCs w:val="24"/>
        </w:rPr>
      </w:pPr>
      <w:r>
        <w:rPr>
          <w:rFonts w:cs="Segoe UI" w:ascii="Segoe UI" w:hAnsi="Segoe UI"/>
          <w:i/>
          <w:sz w:val="24"/>
          <w:szCs w:val="24"/>
        </w:rPr>
        <w:t>В настоящее время Кадастровой палатой по Челябинской области проводятся мероприятия по наполнению Единого государственного реестра недвижимости сведениями о водных объектах.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i/>
          <w:i/>
          <w:sz w:val="24"/>
          <w:szCs w:val="24"/>
        </w:rPr>
      </w:pPr>
      <w:r>
        <w:rPr>
          <w:rFonts w:cs="Segoe UI" w:ascii="Segoe UI" w:hAnsi="Segoe UI"/>
          <w:i/>
          <w:sz w:val="24"/>
          <w:szCs w:val="24"/>
        </w:rPr>
        <w:t xml:space="preserve">По состоянию на 01.10.2019 в государственном реестре недвижимости содержатся сведения о границах 37 водоохранных зон и 37 прибрежных защитных полос, установленных, в том числе, и в отношении таких значимых водных объектов, как реки Урал и Миасс, озера Тургояк и Еловое, Иремельское, Нязепетровское, Симское, Миньярское водохранилища. 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Аспекты, касающиеся наличия в реестре недвижимости сведений о водоохранных зонах и прибрежных защитных полосах водных объектов, разъяснила </w:t>
      </w:r>
      <w:r>
        <w:rPr>
          <w:rFonts w:cs="Segoe UI" w:ascii="Segoe UI" w:hAnsi="Segoe UI"/>
          <w:b/>
          <w:sz w:val="24"/>
        </w:rPr>
        <w:t>эксперт Кадастровой палаты по Челябинской области Екатерина Белоскирко</w:t>
      </w:r>
      <w:r>
        <w:rPr>
          <w:rFonts w:cs="Segoe UI" w:ascii="Segoe UI" w:hAnsi="Segoe UI"/>
          <w:sz w:val="24"/>
        </w:rPr>
        <w:t>.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Градостроительны</w:t>
      </w:r>
      <w:r>
        <w:rPr>
          <w:rFonts w:cs="Segoe UI" w:ascii="Segoe UI" w:hAnsi="Segoe UI"/>
          <w:color w:val="00000A"/>
          <w:sz w:val="24"/>
        </w:rPr>
        <w:t xml:space="preserve">м кодексом </w:t>
      </w:r>
      <w:r>
        <w:rPr>
          <w:rFonts w:cs="Segoe UI" w:ascii="Segoe UI" w:hAnsi="Segoe UI"/>
          <w:sz w:val="24"/>
        </w:rPr>
        <w:t>Российской Федерации водоохранные зоны и прибрежные защитные полосы отнесены к зонам с особыми условиями использования территорий, внесение которых осуществляется в порядке информационного взаимодействия в соответствии с Федеральным законом от 13.07.2015 №218-ФЗ «О государственной регистрации недвижимости».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Внесение в реестр недвижимости сведений о границах зон с особыми условиями использования позволяет обеспечить полную и достоверную информацию о правовом режиме использования земельных участков в границах таких зон.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Водоохранными зонами являются территории, которые непосредственно примыкают к границе водного объекта (морей, рек, ручьев, каналов, озер, водохранилищ).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В границах водоохранных зон устанавливается специальный режим осуществления хозяйственной и иной деятельности в целях предотвращения загрязнения водных объектов и истощения их вод, а также сохранения среды обитания объектов животного и растительного мира. 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Так, в границах водооохранных зон запрещается размещение кладбищ, химических, отравляющих и ядовитых веществ, движение и стоянка отдельных видов транспортных средств, размещение специализированных хранилищ пестицидов и агрохимикатов, а также их, сброс сточных вод.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деятельности, такие как распашка земель, размещение отвалов размываемых грунтов, выпас сельскохозяйственных животных.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Установление границ указанных зон в соответствии с действующим законодательством осуществляется органами государственной власти субъектов Российской Федерации, Федеральным агентством водных ресурсов и его территориальными органами.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Границы водоохранных зон и границ прибрежных защитных полос водных объектов устанавливаются на местности путем размещения специальных информационных знаков. Внесенные в государственный реестр недвижимости сведения о границах водоохранных зон и границ прибрежных защитных полос отображаются на публичной кадастровой карте.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 xml:space="preserve">Узнать подробнее, какая информация содержится в реестре границ в отношении зон с особыми условиями использования территорий, может любое заинтересованное лицо, направив в орган регистрации прав запрос о предоставлении сведений о зоне с особыми условиями использования территорий. 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В выписке будет содержаться, в том числе информация о реквизитах решения об установлении (изменении) зоны, сведения о содержании ограничений использования объектов недвижимости, сведения о кадастровых номерах земельных участков, входящих в зону (подзону), план (чертеж, схема) границ зоны с особыми условиями использования территорий, сведения о местоположении границ зоны с особыми условиями использования территорий.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Направить запрос можно только на бумажном носителе, обратившись в любой офис многофункциональных центров (МФЦ). Перечень офисов МФЦ, оказывающих государственные услуги на территории Челябинской области, размещен на сайте              mfc-74.ru.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Получение готовых документов доступно как на бумажном носителе, так и в виде электронного докумен</w:t>
      </w:r>
      <w:bookmarkStart w:id="1" w:name="_GoBack"/>
      <w:bookmarkEnd w:id="1"/>
      <w:r>
        <w:rPr>
          <w:rFonts w:cs="Segoe UI" w:ascii="Segoe UI" w:hAnsi="Segoe UI"/>
          <w:sz w:val="24"/>
        </w:rPr>
        <w:t>та.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  <w:t>Стоит обратить внимание, что стоимость выписки в электронном виде будет значительно дешевле бумажного документа: для физических лиц – 300 рублей, тогда как на бумажном носителе – 1500 рублей, для юридических лиц – 600 рублей, на бумаге – 4500 рублей.</w:t>
      </w:r>
    </w:p>
    <w:p>
      <w:pPr>
        <w:pStyle w:val="ConsPlusNormal"/>
        <w:tabs>
          <w:tab w:val="left" w:pos="5812" w:leader="none"/>
        </w:tabs>
        <w:ind w:firstLine="709"/>
        <w:jc w:val="both"/>
        <w:rPr>
          <w:rFonts w:ascii="Segoe UI" w:hAnsi="Segoe UI" w:cs="Segoe UI"/>
          <w:sz w:val="24"/>
        </w:rPr>
      </w:pPr>
      <w:r>
        <w:rPr>
          <w:rFonts w:cs="Segoe UI" w:ascii="Segoe UI" w:hAnsi="Segoe UI"/>
          <w:sz w:val="24"/>
        </w:rPr>
      </w:r>
    </w:p>
    <w:p>
      <w:pPr>
        <w:pStyle w:val="Normal"/>
        <w:spacing w:lineRule="auto" w:line="240" w:before="0" w:after="0"/>
        <w:ind w:firstLine="794"/>
        <w:jc w:val="both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</w:r>
    </w:p>
    <w:p>
      <w:pPr>
        <w:pStyle w:val="Normal"/>
        <w:ind w:firstLine="680"/>
        <w:jc w:val="right"/>
        <w:rPr/>
      </w:pPr>
      <w:r>
        <w:rPr>
          <w:rFonts w:cs="Segoe UI" w:ascii="Segoe UI" w:hAnsi="Segoe UI"/>
          <w:b/>
          <w:bCs/>
        </w:rPr>
        <w:t>Пресс-служба Федеральной кадастровой палаты</w:t>
      </w:r>
    </w:p>
    <w:p>
      <w:pPr>
        <w:pStyle w:val="Normal"/>
        <w:ind w:firstLine="680"/>
        <w:jc w:val="right"/>
        <w:rPr/>
      </w:pPr>
      <w:r>
        <w:rPr>
          <w:rFonts w:eastAsia="SimSun" w:cs="Segoe UI" w:ascii="Segoe UI" w:hAnsi="Segoe UI"/>
          <w:b/>
          <w:bCs/>
          <w:sz w:val="24"/>
          <w:szCs w:val="24"/>
        </w:rPr>
        <w:t xml:space="preserve"> </w:t>
      </w:r>
      <w:r>
        <w:rPr>
          <w:rFonts w:eastAsia="SimSun" w:cs="Segoe UI" w:ascii="Segoe UI" w:hAnsi="Segoe UI"/>
          <w:b/>
          <w:bCs/>
          <w:sz w:val="24"/>
          <w:szCs w:val="24"/>
        </w:rPr>
        <w:t>по Челябинск</w:t>
      </w:r>
      <w:r>
        <w:rPr>
          <w:rFonts w:eastAsia="SimSun;宋体" w:cs="Segoe UI" w:ascii="Segoe UI" w:hAnsi="Segoe UI"/>
          <w:b/>
          <w:bCs/>
          <w:sz w:val="24"/>
          <w:szCs w:val="24"/>
        </w:rPr>
        <w:t>ой области</w:t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before="0" w:after="0"/>
        <w:jc w:val="left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hanging="0"/>
        <w:jc w:val="left"/>
        <w:rPr/>
      </w:pPr>
      <w:bookmarkStart w:id="2" w:name="__DdeLink__636_1136453198"/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Пресс-служба</w:t>
        <w:br/>
        <w:t>Федеральной кадастровой палаты </w:t>
        <w:br/>
        <w:t>по Челябинской области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Тел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. 8 (351) 728-75-00 (внутренний номер 2291, 2162),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E-mail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hyperlink r:id="rId3">
        <w:r>
          <w:rPr>
            <w:rStyle w:val="Style13"/>
            <w:rFonts w:eastAsia="Arial Unicode MS" w:cs="Segoe UI" w:ascii="Segoe UI" w:hAnsi="Segoe UI"/>
            <w:sz w:val="16"/>
            <w:szCs w:val="16"/>
            <w:lang w:val="ru-RU" w:eastAsia="hi-IN" w:bidi="hi-IN"/>
          </w:rPr>
          <w:t>pressafgu74@mail.ru</w:t>
        </w:r>
      </w:hyperlink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 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Сайт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hyperlink r:id="rId4">
        <w:r>
          <w:rPr>
            <w:rStyle w:val="Style13"/>
            <w:rFonts w:eastAsia="Arial Unicode MS" w:cs="Segoe UI" w:ascii="Segoe UI" w:hAnsi="Segoe UI"/>
            <w:sz w:val="16"/>
            <w:szCs w:val="16"/>
            <w:lang w:val="ru-RU" w:eastAsia="hi-IN" w:bidi="hi-IN"/>
          </w:rPr>
          <w:t>kadastr.ru</w:t>
        </w:r>
      </w:hyperlink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 (регион - Челябинская область)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ВКонтакте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hyperlink r:id="rId5">
        <w:bookmarkEnd w:id="2"/>
        <w:r>
          <w:rPr>
            <w:rStyle w:val="Style13"/>
            <w:rFonts w:eastAsia="Arial Unicode MS" w:cs="Segoe UI" w:ascii="Segoe UI" w:hAnsi="Segoe UI"/>
            <w:sz w:val="16"/>
            <w:szCs w:val="16"/>
            <w:lang w:val="ru-RU" w:eastAsia="hi-IN" w:bidi="hi-IN"/>
          </w:rPr>
          <w:t>vk.com/fkp74</w:t>
        </w:r>
      </w:hyperlink>
    </w:p>
    <w:sectPr>
      <w:type w:val="nextPage"/>
      <w:pgSz w:w="11906" w:h="16838"/>
      <w:pgMar w:left="1134" w:right="707" w:header="0" w:top="709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12c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8d3c4b"/>
    <w:rPr>
      <w:rFonts w:ascii="Tahoma" w:hAnsi="Tahoma" w:cs="Tahoma"/>
      <w:sz w:val="16"/>
      <w:szCs w:val="16"/>
    </w:rPr>
  </w:style>
  <w:style w:type="character" w:styleId="Style12" w:customStyle="1">
    <w:name w:val="Основной текст с отступом Знак"/>
    <w:basedOn w:val="DefaultParagraphFont"/>
    <w:link w:val="a5"/>
    <w:qFormat/>
    <w:rsid w:val="008d3c4b"/>
    <w:rPr>
      <w:rFonts w:ascii="Times New Roman" w:hAnsi="Times New Roman" w:eastAsia="Arial Unicode MS" w:cs="Mangal"/>
      <w:color w:val="00000A"/>
      <w:sz w:val="24"/>
      <w:szCs w:val="21"/>
      <w:lang w:eastAsia="zh-CN" w:bidi="hi-IN"/>
    </w:rPr>
  </w:style>
  <w:style w:type="character" w:styleId="Style13">
    <w:name w:val="Интернет-ссылка"/>
    <w:rsid w:val="007a1218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link w:val="a8"/>
    <w:uiPriority w:val="99"/>
    <w:semiHidden/>
    <w:qFormat/>
    <w:rsid w:val="008006b9"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Основной текст"/>
    <w:basedOn w:val="Normal"/>
    <w:link w:val="a9"/>
    <w:uiPriority w:val="99"/>
    <w:semiHidden/>
    <w:unhideWhenUsed/>
    <w:rsid w:val="008006b9"/>
    <w:pPr>
      <w:spacing w:before="0" w:after="12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d3c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Основной текст с отступом"/>
    <w:basedOn w:val="Normal"/>
    <w:link w:val="a6"/>
    <w:rsid w:val="008d3c4b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color w:val="00000A"/>
      <w:sz w:val="24"/>
      <w:szCs w:val="21"/>
      <w:lang w:eastAsia="zh-CN" w:bidi="hi-IN"/>
    </w:rPr>
  </w:style>
  <w:style w:type="paragraph" w:styleId="11" w:customStyle="1">
    <w:name w:val="Обычный (веб)1"/>
    <w:basedOn w:val="Normal"/>
    <w:qFormat/>
    <w:rsid w:val="007a1218"/>
    <w:pPr>
      <w:spacing w:lineRule="auto" w:line="240" w:before="0" w:after="96"/>
    </w:pPr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paragraph" w:styleId="Standard" w:customStyle="1">
    <w:name w:val="Standard"/>
    <w:qFormat/>
    <w:rsid w:val="00650cb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Arial Unicode MS" w:cs="Mangal"/>
      <w:color w:val="00000A"/>
      <w:sz w:val="24"/>
      <w:szCs w:val="24"/>
      <w:lang w:val="ru-RU" w:eastAsia="zh-CN" w:bidi="hi-IN"/>
    </w:rPr>
  </w:style>
  <w:style w:type="paragraph" w:styleId="ConsPlusNormal" w:customStyle="1">
    <w:name w:val="ConsPlusNormal"/>
    <w:qFormat/>
    <w:rsid w:val="00fa5e7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Tahoma"/>
      <w:color w:val="00000A"/>
      <w:sz w:val="20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0" w:after="96"/>
    </w:pPr>
    <w:rPr>
      <w:rFonts w:eastAsia="Times New Roman"/>
      <w:lang w:bidi="ar-SA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ressafgu74@mail.ru" TargetMode="External"/><Relationship Id="rId4" Type="http://schemas.openxmlformats.org/officeDocument/2006/relationships/hyperlink" Target="http://kadastr.ru/site/press/news.htm" TargetMode="External"/><Relationship Id="rId5" Type="http://schemas.openxmlformats.org/officeDocument/2006/relationships/hyperlink" Target="http://https/vk.com/fkp74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LibreOffice/4.4.4.3$Windows_x86 LibreOffice_project/2c39ebcf046445232b798108aa8a7e7d89552ea8</Application>
  <Paragraphs>21</Paragraphs>
  <Company>FGBU_FKP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2019-09-26T09:18:00Z</dcterms:created>
  <dc:creator>Елена В. Захарова</dc:creator>
  <dc:language>ru-RU</dc:language>
  <cp:lastModifiedBy>111</cp:lastModifiedBy>
  <cp:lastPrinted>2019-09-27T09:31:00Z</cp:lastPrinted>
  <dcterms:modified xsi:type="dcterms:W3CDTF">2019-11-26T15:38:35Z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FGBU_FKP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